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</w:t>
      </w: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东省各市202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年城镇非私营单位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在岗职工月平均工资情况表</w:t>
      </w:r>
    </w:p>
    <w:bookmarkEnd w:id="0"/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baseline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20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2</w:t>
            </w:r>
            <w:r>
              <w:rPr>
                <w:rFonts w:hint="eastAsia" w:eastAsia="黑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/>
                <w:color w:val="000000"/>
                <w:sz w:val="28"/>
                <w:szCs w:val="28"/>
              </w:rPr>
              <w:t>年城镇非私营单位在岗职工月平均工资（元）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12694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深圳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13730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珠海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10511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汕头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韶关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河源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7634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梅州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7714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惠州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汕尾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东莞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7814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中山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江门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9078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阳江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湛江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茂名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肇庆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清远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潮州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7545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揭阳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6713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云浮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全省</w:t>
            </w:r>
          </w:p>
        </w:tc>
        <w:tc>
          <w:tcPr>
            <w:tcW w:w="6673" w:type="dxa"/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  <w:t>10577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800D3"/>
    <w:rsid w:val="0A48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paragraph" w:customStyle="1" w:styleId="6">
    <w:name w:val="Heading2"/>
    <w:next w:val="1"/>
    <w:qFormat/>
    <w:uiPriority w:val="0"/>
    <w:pPr>
      <w:keepNext/>
      <w:keepLines/>
      <w:widowControl w:val="0"/>
      <w:spacing w:before="260" w:after="26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2023-07-03T03:27:00Z</dcterms:created>
  <dc:creator>子豪</dc:creator>
  <cp:lastModifiedBy>子豪</cp:lastModifiedBy>
  <dcterms:modified xsi:type="dcterms:W3CDTF">2023-07-03T03:28:30Z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