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both"/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spacing w:before="120"/>
        <w:jc w:val="center"/>
        <w:rPr>
          <w:rFonts w:hint="eastAsia" w:ascii="方正小标宋简体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  <w:lang w:val="en-US" w:eastAsia="zh-CN"/>
        </w:rPr>
        <w:t>1项行业标准样品</w:t>
      </w:r>
      <w:r>
        <w:rPr>
          <w:rFonts w:hint="eastAsia" w:ascii="方正小标宋简体" w:eastAsia="方正小标宋简体" w:cs="Times New Roman"/>
          <w:bCs/>
          <w:sz w:val="36"/>
          <w:szCs w:val="36"/>
          <w:lang w:val="en-US" w:eastAsia="zh-CN"/>
        </w:rPr>
        <w:t>目录</w:t>
      </w:r>
    </w:p>
    <w:tbl>
      <w:tblPr>
        <w:tblStyle w:val="12"/>
        <w:tblW w:w="46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98"/>
        <w:gridCol w:w="2211"/>
        <w:gridCol w:w="1090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6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hint="default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</w:rPr>
              <w:t>标准</w:t>
            </w:r>
            <w:r>
              <w:rPr>
                <w:rFonts w:hint="eastAsia" w:ascii="黑体" w:hAnsi="黑体" w:eastAsia="黑体"/>
                <w:kern w:val="0"/>
                <w:lang w:val="en-US" w:eastAsia="zh-CN"/>
              </w:rPr>
              <w:t>样品编号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标准名称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有效期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研 制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1"/>
              </w:rPr>
              <w:t>YSS1</w:t>
            </w:r>
            <w:r>
              <w:rPr>
                <w:rFonts w:hint="default" w:ascii="Times New Roman" w:hAnsi="Times New Roman" w:eastAsia="仿宋_GB2312"/>
                <w:color w:val="000000"/>
                <w:sz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/>
                <w:color w:val="000000"/>
                <w:sz w:val="21"/>
              </w:rPr>
              <w:t>-20</w:t>
            </w:r>
            <w:r>
              <w:rPr>
                <w:rFonts w:hint="default" w:ascii="Times New Roman" w:hAnsi="Times New Roman" w:eastAsia="仿宋_GB2312"/>
                <w:color w:val="000000"/>
                <w:sz w:val="21"/>
                <w:lang w:val="en-US" w:eastAsia="zh-CN"/>
              </w:rPr>
              <w:t>23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1"/>
                <w:lang w:val="en-US" w:eastAsia="zh-CN"/>
              </w:rPr>
              <w:t>铜铅锌原矿标准样品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1"/>
                <w:lang w:val="en-US" w:eastAsia="zh-CN"/>
              </w:rPr>
              <w:t>10年</w:t>
            </w: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1"/>
                <w:lang w:val="en-US" w:eastAsia="zh-CN"/>
              </w:rPr>
              <w:t>云南锡业矿冶检测中心有限公司</w:t>
            </w:r>
          </w:p>
        </w:tc>
      </w:tr>
    </w:tbl>
    <w:p>
      <w:pPr>
        <w:jc w:val="both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br w:type="page"/>
      </w:r>
    </w:p>
    <w:p>
      <w:pPr>
        <w:spacing w:before="120"/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  <w:lang w:val="en-US" w:eastAsia="zh-CN"/>
        </w:rPr>
        <w:t>1项行业标准样品成分含量表</w:t>
      </w:r>
    </w:p>
    <w:tbl>
      <w:tblPr>
        <w:tblStyle w:val="12"/>
        <w:tblW w:w="54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73"/>
        <w:gridCol w:w="993"/>
        <w:gridCol w:w="654"/>
        <w:gridCol w:w="688"/>
        <w:gridCol w:w="687"/>
        <w:gridCol w:w="676"/>
        <w:gridCol w:w="687"/>
        <w:gridCol w:w="688"/>
        <w:gridCol w:w="676"/>
        <w:gridCol w:w="687"/>
        <w:gridCol w:w="662"/>
        <w:gridCol w:w="647"/>
        <w:gridCol w:w="651"/>
        <w:gridCol w:w="415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color w:val="C0000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18"/>
                <w:szCs w:val="18"/>
              </w:rPr>
              <w:t>标准样品编号</w:t>
            </w:r>
          </w:p>
        </w:tc>
        <w:tc>
          <w:tcPr>
            <w:tcW w:w="31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480"/>
                <w:tab w:val="left" w:pos="9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特征量</w:t>
            </w:r>
          </w:p>
        </w:tc>
        <w:tc>
          <w:tcPr>
            <w:tcW w:w="3146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sz w:val="18"/>
                <w:szCs w:val="18"/>
              </w:rPr>
              <w:t>元素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18"/>
                <w:szCs w:val="18"/>
              </w:rPr>
              <w:t>数量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pacing w:val="-1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 w:cs="宋体"/>
                <w:color w:val="000000"/>
                <w:spacing w:val="-10"/>
                <w:sz w:val="18"/>
                <w:szCs w:val="18"/>
                <w:lang w:eastAsia="zh-CN"/>
              </w:rPr>
              <w:t>瓶</w:t>
            </w:r>
            <w:r>
              <w:rPr>
                <w:rFonts w:hint="eastAsia" w:ascii="Times New Roman" w:hAnsi="Times New Roman" w:eastAsia="仿宋_GB2312" w:cs="宋体"/>
                <w:color w:val="000000"/>
                <w:spacing w:val="-10"/>
                <w:sz w:val="18"/>
                <w:szCs w:val="18"/>
              </w:rPr>
              <w:t>）</w:t>
            </w:r>
          </w:p>
        </w:tc>
        <w:tc>
          <w:tcPr>
            <w:tcW w:w="1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firstLine="0" w:firstLineChars="0"/>
              <w:textAlignment w:val="auto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18"/>
                <w:szCs w:val="18"/>
                <w:lang w:eastAsia="zh-CN"/>
              </w:rPr>
              <w:t>有效期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18"/>
                <w:szCs w:val="18"/>
              </w:rPr>
              <w:t>研制单位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C00000"/>
                <w:sz w:val="18"/>
                <w:szCs w:val="18"/>
              </w:rPr>
            </w:pPr>
          </w:p>
        </w:tc>
        <w:tc>
          <w:tcPr>
            <w:tcW w:w="3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Cu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（%）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Pb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（%）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Zn（%）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Fe（%）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Sn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（%）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As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（%）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Ag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(µg/g)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CaO（%）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MgO（%）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subscript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SiO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subscript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（%）</w:t>
            </w:r>
          </w:p>
        </w:tc>
        <w:tc>
          <w:tcPr>
            <w:tcW w:w="3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YSS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31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铜铅锌原矿标准样品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标准值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1.42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3.37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1.70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25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.8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0.32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1.31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51.7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6.0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1.4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22.4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10年</w:t>
            </w:r>
          </w:p>
        </w:tc>
        <w:tc>
          <w:tcPr>
            <w:tcW w:w="29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云南锡业矿冶检测中心有限公司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单次测量标准偏差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0.06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0.09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0.09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0.2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0.02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0.01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0.5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0.5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0.2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0.3</w:t>
            </w:r>
          </w:p>
        </w:tc>
        <w:tc>
          <w:tcPr>
            <w:tcW w:w="3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扩展不确定度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0.08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0.09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0.09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0.5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0.03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0.03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1.2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0.5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0.3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0.7</w:t>
            </w:r>
          </w:p>
        </w:tc>
        <w:tc>
          <w:tcPr>
            <w:tcW w:w="3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数据组数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3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9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5000" w:type="pct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Lines="0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注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：扩展不确定度</w:t>
            </w:r>
            <w:r>
              <w:rPr>
                <w:rFonts w:ascii="Times New Roman" w:hAnsi="Times New Roman" w:eastAsia="仿宋_GB2312"/>
                <w:position w:val="-18"/>
                <w:sz w:val="18"/>
                <w:szCs w:val="18"/>
              </w:rPr>
              <w:object>
                <v:shape id="_x0000_i1025" o:spt="75" type="#_x0000_t75" style="height:24.75pt;width:81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11">
                  <o:LockedField>false</o:LockedField>
                </o:OLEObject>
              </w:objec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扩展不确定度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为定值测量不确定度与标准样品不均匀性不确定度的合成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，式中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包含因子k=2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。</w:t>
            </w:r>
          </w:p>
        </w:tc>
      </w:tr>
    </w:tbl>
    <w:p>
      <w:pPr>
        <w:spacing w:before="120"/>
        <w:jc w:val="center"/>
        <w:rPr>
          <w:rFonts w:hint="eastAsia"/>
        </w:rPr>
      </w:pPr>
    </w:p>
    <w:p>
      <w:pPr>
        <w:spacing w:before="120"/>
        <w:jc w:val="center"/>
        <w:rPr>
          <w:rFonts w:hint="eastAsia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7" w:right="1134" w:bottom="1417" w:left="1134" w:header="454" w:footer="340" w:gutter="0"/>
      <w:paperSrc/>
      <w:pgNumType w:start="6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spacing w:before="120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8</w:t>
    </w:r>
    <w:r>
      <w:fldChar w:fldCharType="end"/>
    </w:r>
  </w:p>
  <w:p>
    <w:pPr>
      <w:pStyle w:val="10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6343F"/>
    <w:multiLevelType w:val="multilevel"/>
    <w:tmpl w:val="14B6343F"/>
    <w:lvl w:ilvl="0" w:tentative="0">
      <w:start w:val="1"/>
      <w:numFmt w:val="decimal"/>
      <w:suff w:val="nothing"/>
      <w:lvlText w:val="%1"/>
      <w:lvlJc w:val="center"/>
      <w:pPr>
        <w:ind w:left="0" w:leftChars="0" w:firstLine="0" w:firstLineChars="0"/>
      </w:pPr>
      <w:rPr>
        <w:rFonts w:hint="eastAsia" w:ascii="宋体" w:hAnsi="宋体" w:eastAsia="宋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YTUxMmZkMDFmNTIxNGIwNDQwYjQzMGQ3Nzc5ODMifQ=="/>
  </w:docVars>
  <w:rsids>
    <w:rsidRoot w:val="00046049"/>
    <w:rsid w:val="00001D0E"/>
    <w:rsid w:val="0000412F"/>
    <w:rsid w:val="000079B8"/>
    <w:rsid w:val="00017D4B"/>
    <w:rsid w:val="00024AA8"/>
    <w:rsid w:val="00031934"/>
    <w:rsid w:val="00037C07"/>
    <w:rsid w:val="00043E4A"/>
    <w:rsid w:val="000453B7"/>
    <w:rsid w:val="00045751"/>
    <w:rsid w:val="00046049"/>
    <w:rsid w:val="00046D3B"/>
    <w:rsid w:val="00052FB8"/>
    <w:rsid w:val="000618FF"/>
    <w:rsid w:val="000625D5"/>
    <w:rsid w:val="000733BA"/>
    <w:rsid w:val="00073766"/>
    <w:rsid w:val="000823B1"/>
    <w:rsid w:val="00086227"/>
    <w:rsid w:val="00096B06"/>
    <w:rsid w:val="000B0855"/>
    <w:rsid w:val="000B2791"/>
    <w:rsid w:val="000B52F5"/>
    <w:rsid w:val="000C1065"/>
    <w:rsid w:val="000C2FC9"/>
    <w:rsid w:val="000C34EF"/>
    <w:rsid w:val="000C59DB"/>
    <w:rsid w:val="000E20C8"/>
    <w:rsid w:val="000E307C"/>
    <w:rsid w:val="000E4F04"/>
    <w:rsid w:val="000F4106"/>
    <w:rsid w:val="000F68DA"/>
    <w:rsid w:val="00103A67"/>
    <w:rsid w:val="001152B1"/>
    <w:rsid w:val="0011580B"/>
    <w:rsid w:val="00122165"/>
    <w:rsid w:val="001320C8"/>
    <w:rsid w:val="001326EF"/>
    <w:rsid w:val="001447CA"/>
    <w:rsid w:val="001603DB"/>
    <w:rsid w:val="00167A3D"/>
    <w:rsid w:val="00175ED3"/>
    <w:rsid w:val="00181BBE"/>
    <w:rsid w:val="00186692"/>
    <w:rsid w:val="00187DBD"/>
    <w:rsid w:val="001918C5"/>
    <w:rsid w:val="001A06B0"/>
    <w:rsid w:val="001B0208"/>
    <w:rsid w:val="001B46CC"/>
    <w:rsid w:val="001B7A98"/>
    <w:rsid w:val="001C2F59"/>
    <w:rsid w:val="001C5B7F"/>
    <w:rsid w:val="001D2CF3"/>
    <w:rsid w:val="001D4210"/>
    <w:rsid w:val="001E1099"/>
    <w:rsid w:val="00200A71"/>
    <w:rsid w:val="0020233E"/>
    <w:rsid w:val="00230C67"/>
    <w:rsid w:val="0023624E"/>
    <w:rsid w:val="00236F68"/>
    <w:rsid w:val="0026178B"/>
    <w:rsid w:val="00263C74"/>
    <w:rsid w:val="0026501F"/>
    <w:rsid w:val="00271BDD"/>
    <w:rsid w:val="00271EDB"/>
    <w:rsid w:val="0027635E"/>
    <w:rsid w:val="0029488A"/>
    <w:rsid w:val="002B17A5"/>
    <w:rsid w:val="002B20F3"/>
    <w:rsid w:val="002B5158"/>
    <w:rsid w:val="002B7ED2"/>
    <w:rsid w:val="002E1F53"/>
    <w:rsid w:val="002E4691"/>
    <w:rsid w:val="002F4321"/>
    <w:rsid w:val="002F6163"/>
    <w:rsid w:val="002F64A8"/>
    <w:rsid w:val="0030654D"/>
    <w:rsid w:val="003133BF"/>
    <w:rsid w:val="00313BF0"/>
    <w:rsid w:val="00332CD0"/>
    <w:rsid w:val="00333412"/>
    <w:rsid w:val="00334E79"/>
    <w:rsid w:val="00360B1B"/>
    <w:rsid w:val="0036272E"/>
    <w:rsid w:val="00362C05"/>
    <w:rsid w:val="003648C7"/>
    <w:rsid w:val="00370752"/>
    <w:rsid w:val="00376672"/>
    <w:rsid w:val="00376DCB"/>
    <w:rsid w:val="003773FE"/>
    <w:rsid w:val="003868F2"/>
    <w:rsid w:val="003A0C69"/>
    <w:rsid w:val="003A2318"/>
    <w:rsid w:val="003D0E8C"/>
    <w:rsid w:val="003F184D"/>
    <w:rsid w:val="00402845"/>
    <w:rsid w:val="00403CD9"/>
    <w:rsid w:val="00405D60"/>
    <w:rsid w:val="004103DB"/>
    <w:rsid w:val="00410556"/>
    <w:rsid w:val="004138BB"/>
    <w:rsid w:val="00413B77"/>
    <w:rsid w:val="00421A2D"/>
    <w:rsid w:val="004233A5"/>
    <w:rsid w:val="0042618F"/>
    <w:rsid w:val="004439CF"/>
    <w:rsid w:val="00465AF6"/>
    <w:rsid w:val="0047211E"/>
    <w:rsid w:val="0047543A"/>
    <w:rsid w:val="00475ACA"/>
    <w:rsid w:val="004909EB"/>
    <w:rsid w:val="004977C9"/>
    <w:rsid w:val="004B03ED"/>
    <w:rsid w:val="004B7648"/>
    <w:rsid w:val="004C469B"/>
    <w:rsid w:val="004C67EB"/>
    <w:rsid w:val="004D5A24"/>
    <w:rsid w:val="004E210E"/>
    <w:rsid w:val="004E3029"/>
    <w:rsid w:val="004F150C"/>
    <w:rsid w:val="004F3BA5"/>
    <w:rsid w:val="004F5E85"/>
    <w:rsid w:val="0050101E"/>
    <w:rsid w:val="005060BF"/>
    <w:rsid w:val="00521690"/>
    <w:rsid w:val="00521E1B"/>
    <w:rsid w:val="00535B1F"/>
    <w:rsid w:val="005500D5"/>
    <w:rsid w:val="00552B6B"/>
    <w:rsid w:val="005561A9"/>
    <w:rsid w:val="00573D82"/>
    <w:rsid w:val="005768FE"/>
    <w:rsid w:val="00576AD3"/>
    <w:rsid w:val="0057745B"/>
    <w:rsid w:val="0058400A"/>
    <w:rsid w:val="00591772"/>
    <w:rsid w:val="005A12CA"/>
    <w:rsid w:val="005A2188"/>
    <w:rsid w:val="005A5A8E"/>
    <w:rsid w:val="005A72FF"/>
    <w:rsid w:val="005B39E4"/>
    <w:rsid w:val="005B68E1"/>
    <w:rsid w:val="005C3416"/>
    <w:rsid w:val="005C4E05"/>
    <w:rsid w:val="005C6A11"/>
    <w:rsid w:val="005D2B85"/>
    <w:rsid w:val="005D33B1"/>
    <w:rsid w:val="005D48AA"/>
    <w:rsid w:val="00626C0E"/>
    <w:rsid w:val="00626D84"/>
    <w:rsid w:val="006273C9"/>
    <w:rsid w:val="00643944"/>
    <w:rsid w:val="00650368"/>
    <w:rsid w:val="00665525"/>
    <w:rsid w:val="006757AD"/>
    <w:rsid w:val="00681A17"/>
    <w:rsid w:val="00686929"/>
    <w:rsid w:val="00687886"/>
    <w:rsid w:val="00693A24"/>
    <w:rsid w:val="006977AE"/>
    <w:rsid w:val="006A1B3A"/>
    <w:rsid w:val="006A6279"/>
    <w:rsid w:val="006B667A"/>
    <w:rsid w:val="006D7DE3"/>
    <w:rsid w:val="006E16D6"/>
    <w:rsid w:val="006F5C57"/>
    <w:rsid w:val="00711D92"/>
    <w:rsid w:val="00713439"/>
    <w:rsid w:val="0071399E"/>
    <w:rsid w:val="00716CF5"/>
    <w:rsid w:val="00724F00"/>
    <w:rsid w:val="007269A0"/>
    <w:rsid w:val="00757078"/>
    <w:rsid w:val="007672D9"/>
    <w:rsid w:val="007712F5"/>
    <w:rsid w:val="0077159A"/>
    <w:rsid w:val="007934D3"/>
    <w:rsid w:val="007A14A2"/>
    <w:rsid w:val="007A5F11"/>
    <w:rsid w:val="007B14C5"/>
    <w:rsid w:val="007C14C8"/>
    <w:rsid w:val="007C7993"/>
    <w:rsid w:val="007E3773"/>
    <w:rsid w:val="007F6D95"/>
    <w:rsid w:val="007F774F"/>
    <w:rsid w:val="00817AC0"/>
    <w:rsid w:val="008274ED"/>
    <w:rsid w:val="008556EF"/>
    <w:rsid w:val="0087283D"/>
    <w:rsid w:val="00872DB7"/>
    <w:rsid w:val="00873136"/>
    <w:rsid w:val="008776CD"/>
    <w:rsid w:val="0089097A"/>
    <w:rsid w:val="00892954"/>
    <w:rsid w:val="0089374C"/>
    <w:rsid w:val="00896404"/>
    <w:rsid w:val="008A1C87"/>
    <w:rsid w:val="008A43D6"/>
    <w:rsid w:val="008A56F8"/>
    <w:rsid w:val="008B25F1"/>
    <w:rsid w:val="008B4948"/>
    <w:rsid w:val="008C0041"/>
    <w:rsid w:val="008C41A0"/>
    <w:rsid w:val="008C6F90"/>
    <w:rsid w:val="008C7FC7"/>
    <w:rsid w:val="008D2F01"/>
    <w:rsid w:val="008E5DCB"/>
    <w:rsid w:val="008F6D08"/>
    <w:rsid w:val="009007AC"/>
    <w:rsid w:val="009035CD"/>
    <w:rsid w:val="00903DA2"/>
    <w:rsid w:val="0090475C"/>
    <w:rsid w:val="00924746"/>
    <w:rsid w:val="00932FC2"/>
    <w:rsid w:val="00941B48"/>
    <w:rsid w:val="00966305"/>
    <w:rsid w:val="009A26F3"/>
    <w:rsid w:val="009A2C74"/>
    <w:rsid w:val="009A4328"/>
    <w:rsid w:val="009B056D"/>
    <w:rsid w:val="009B157F"/>
    <w:rsid w:val="009B284B"/>
    <w:rsid w:val="009B453A"/>
    <w:rsid w:val="009E4418"/>
    <w:rsid w:val="009E516D"/>
    <w:rsid w:val="009F02A5"/>
    <w:rsid w:val="00A10575"/>
    <w:rsid w:val="00A406CE"/>
    <w:rsid w:val="00A51140"/>
    <w:rsid w:val="00A52716"/>
    <w:rsid w:val="00A5548B"/>
    <w:rsid w:val="00A57EC1"/>
    <w:rsid w:val="00A63128"/>
    <w:rsid w:val="00A72698"/>
    <w:rsid w:val="00A821E7"/>
    <w:rsid w:val="00A874B4"/>
    <w:rsid w:val="00A90923"/>
    <w:rsid w:val="00A9399F"/>
    <w:rsid w:val="00A95CEF"/>
    <w:rsid w:val="00AD0F84"/>
    <w:rsid w:val="00AD250E"/>
    <w:rsid w:val="00AD27EA"/>
    <w:rsid w:val="00AD577E"/>
    <w:rsid w:val="00AF04F5"/>
    <w:rsid w:val="00AF0B03"/>
    <w:rsid w:val="00B168D0"/>
    <w:rsid w:val="00B16A10"/>
    <w:rsid w:val="00B16BD7"/>
    <w:rsid w:val="00B20DE0"/>
    <w:rsid w:val="00B35C66"/>
    <w:rsid w:val="00B53559"/>
    <w:rsid w:val="00B55D3D"/>
    <w:rsid w:val="00B566A6"/>
    <w:rsid w:val="00B6175A"/>
    <w:rsid w:val="00B82730"/>
    <w:rsid w:val="00B82BFF"/>
    <w:rsid w:val="00BC0EEF"/>
    <w:rsid w:val="00BC25E7"/>
    <w:rsid w:val="00BD6423"/>
    <w:rsid w:val="00BE7CED"/>
    <w:rsid w:val="00BF12D8"/>
    <w:rsid w:val="00C027E2"/>
    <w:rsid w:val="00C24D7A"/>
    <w:rsid w:val="00C31F74"/>
    <w:rsid w:val="00C44153"/>
    <w:rsid w:val="00C47A8B"/>
    <w:rsid w:val="00C508EF"/>
    <w:rsid w:val="00C5697D"/>
    <w:rsid w:val="00C63981"/>
    <w:rsid w:val="00C66738"/>
    <w:rsid w:val="00C73B73"/>
    <w:rsid w:val="00C766B7"/>
    <w:rsid w:val="00C832E3"/>
    <w:rsid w:val="00C96190"/>
    <w:rsid w:val="00CA3324"/>
    <w:rsid w:val="00CA4045"/>
    <w:rsid w:val="00CA6EAC"/>
    <w:rsid w:val="00CB6E50"/>
    <w:rsid w:val="00CC7617"/>
    <w:rsid w:val="00CD528D"/>
    <w:rsid w:val="00CE0846"/>
    <w:rsid w:val="00CE361E"/>
    <w:rsid w:val="00CF2DCB"/>
    <w:rsid w:val="00D03284"/>
    <w:rsid w:val="00D136F4"/>
    <w:rsid w:val="00D2347D"/>
    <w:rsid w:val="00D23BC5"/>
    <w:rsid w:val="00D26430"/>
    <w:rsid w:val="00D4314E"/>
    <w:rsid w:val="00D457BA"/>
    <w:rsid w:val="00D47A14"/>
    <w:rsid w:val="00D63016"/>
    <w:rsid w:val="00D708C1"/>
    <w:rsid w:val="00D74CCA"/>
    <w:rsid w:val="00D85321"/>
    <w:rsid w:val="00D962A2"/>
    <w:rsid w:val="00DB2B5B"/>
    <w:rsid w:val="00DB4584"/>
    <w:rsid w:val="00DC02E9"/>
    <w:rsid w:val="00DC5120"/>
    <w:rsid w:val="00DD3CB5"/>
    <w:rsid w:val="00DE5243"/>
    <w:rsid w:val="00DE6904"/>
    <w:rsid w:val="00E10E60"/>
    <w:rsid w:val="00E221E7"/>
    <w:rsid w:val="00E43E54"/>
    <w:rsid w:val="00E45D7B"/>
    <w:rsid w:val="00E4637D"/>
    <w:rsid w:val="00E51E5A"/>
    <w:rsid w:val="00E57E39"/>
    <w:rsid w:val="00E75FBB"/>
    <w:rsid w:val="00E94AF7"/>
    <w:rsid w:val="00EA2C29"/>
    <w:rsid w:val="00EA74A5"/>
    <w:rsid w:val="00EB5C32"/>
    <w:rsid w:val="00EC515E"/>
    <w:rsid w:val="00ED1F8F"/>
    <w:rsid w:val="00ED2F5B"/>
    <w:rsid w:val="00EE34A1"/>
    <w:rsid w:val="00EE5877"/>
    <w:rsid w:val="00EF424F"/>
    <w:rsid w:val="00EF5372"/>
    <w:rsid w:val="00F0033D"/>
    <w:rsid w:val="00F02922"/>
    <w:rsid w:val="00F249CE"/>
    <w:rsid w:val="00F30B72"/>
    <w:rsid w:val="00F34D5C"/>
    <w:rsid w:val="00F508D4"/>
    <w:rsid w:val="00F526CA"/>
    <w:rsid w:val="00F52A26"/>
    <w:rsid w:val="00F62703"/>
    <w:rsid w:val="00F6789D"/>
    <w:rsid w:val="00F848C6"/>
    <w:rsid w:val="00F92D95"/>
    <w:rsid w:val="00F9399C"/>
    <w:rsid w:val="00FA366D"/>
    <w:rsid w:val="00FC0189"/>
    <w:rsid w:val="00FC0683"/>
    <w:rsid w:val="00FD383D"/>
    <w:rsid w:val="00FE018B"/>
    <w:rsid w:val="00FF0424"/>
    <w:rsid w:val="00FF198E"/>
    <w:rsid w:val="00FF569E"/>
    <w:rsid w:val="03E020EA"/>
    <w:rsid w:val="041460ED"/>
    <w:rsid w:val="046070B2"/>
    <w:rsid w:val="05551D4C"/>
    <w:rsid w:val="08DC153D"/>
    <w:rsid w:val="0EF95105"/>
    <w:rsid w:val="0F0C142F"/>
    <w:rsid w:val="130839E1"/>
    <w:rsid w:val="15C57C68"/>
    <w:rsid w:val="19404D95"/>
    <w:rsid w:val="19562F93"/>
    <w:rsid w:val="1CC235C3"/>
    <w:rsid w:val="1E334EC9"/>
    <w:rsid w:val="1E3E110C"/>
    <w:rsid w:val="1FD632AA"/>
    <w:rsid w:val="1FED1E08"/>
    <w:rsid w:val="20F55EF1"/>
    <w:rsid w:val="22317971"/>
    <w:rsid w:val="25F72C80"/>
    <w:rsid w:val="260B2D6A"/>
    <w:rsid w:val="2CFC6D21"/>
    <w:rsid w:val="2D636E4D"/>
    <w:rsid w:val="2DDB7535"/>
    <w:rsid w:val="32602E92"/>
    <w:rsid w:val="3344327C"/>
    <w:rsid w:val="370277DD"/>
    <w:rsid w:val="38C74734"/>
    <w:rsid w:val="3B862684"/>
    <w:rsid w:val="3E454875"/>
    <w:rsid w:val="3F74647D"/>
    <w:rsid w:val="4464552C"/>
    <w:rsid w:val="45306EA8"/>
    <w:rsid w:val="46DA08D9"/>
    <w:rsid w:val="471C20EE"/>
    <w:rsid w:val="48BE1DEA"/>
    <w:rsid w:val="49494C0A"/>
    <w:rsid w:val="49B6277C"/>
    <w:rsid w:val="4DE3286F"/>
    <w:rsid w:val="4E62750E"/>
    <w:rsid w:val="4E9B5FEF"/>
    <w:rsid w:val="54216B80"/>
    <w:rsid w:val="54585628"/>
    <w:rsid w:val="55011456"/>
    <w:rsid w:val="5B6A5A39"/>
    <w:rsid w:val="62D17DD9"/>
    <w:rsid w:val="636E42D0"/>
    <w:rsid w:val="640E4CA8"/>
    <w:rsid w:val="67BD6B7E"/>
    <w:rsid w:val="681976BC"/>
    <w:rsid w:val="69830117"/>
    <w:rsid w:val="6B542D89"/>
    <w:rsid w:val="6CDB1656"/>
    <w:rsid w:val="6D091EE5"/>
    <w:rsid w:val="6E9755E0"/>
    <w:rsid w:val="70301DD6"/>
    <w:rsid w:val="706B3A89"/>
    <w:rsid w:val="719037B7"/>
    <w:rsid w:val="72DC2D91"/>
    <w:rsid w:val="72EF0E28"/>
    <w:rsid w:val="74CE5452"/>
    <w:rsid w:val="78661790"/>
    <w:rsid w:val="78C84380"/>
    <w:rsid w:val="78D05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eastAsia="仿宋_GB2312"/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jc w:val="left"/>
      <w:outlineLvl w:val="1"/>
    </w:pPr>
    <w:rPr>
      <w:rFonts w:ascii="仿宋_GB2312" w:eastAsia="仿宋_GB2312"/>
      <w:sz w:val="28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页脚 Char"/>
    <w:basedOn w:val="14"/>
    <w:link w:val="10"/>
    <w:qFormat/>
    <w:uiPriority w:val="0"/>
    <w:rPr>
      <w:kern w:val="2"/>
      <w:sz w:val="18"/>
      <w:szCs w:val="18"/>
    </w:rPr>
  </w:style>
  <w:style w:type="paragraph" w:customStyle="1" w:styleId="19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before="50" w:beforeLines="50"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281</Words>
  <Characters>403</Characters>
  <Lines>65</Lines>
  <Paragraphs>18</Paragraphs>
  <TotalTime>113</TotalTime>
  <ScaleCrop>false</ScaleCrop>
  <LinksUpToDate>false</LinksUpToDate>
  <CharactersWithSpaces>409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2006-10-19T05:21:00Z</dcterms:created>
  <dc:creator>shengxijun</dc:creator>
  <cp:lastModifiedBy>杨莉</cp:lastModifiedBy>
  <cp:lastPrinted>2015-01-04T07:40:00Z</cp:lastPrinted>
  <dcterms:modified xsi:type="dcterms:W3CDTF">2023-11-17T05:54:01Z</dcterms:modified>
  <dc:title>序号</dc:title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1F6693F2EB63441F938CC98B840A5C85</vt:lpwstr>
  </property>
</Properties>
</file>