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26159">
      <w:pPr>
        <w:keepNext w:val="0"/>
        <w:keepLines w:val="0"/>
        <w:pageBreakBefore w:val="0"/>
        <w:widowControl w:val="0"/>
        <w:kinsoku/>
        <w:autoSpaceDN/>
        <w:bidi w:val="0"/>
        <w:adjustRightInd/>
        <w:snapToGrid/>
        <w:spacing w:line="580" w:lineRule="exact"/>
        <w:ind w:firstLine="1760" w:firstLineChars="400"/>
        <w:jc w:val="both"/>
        <w:textAlignment w:val="auto"/>
        <w:rPr>
          <w:rFonts w:hint="default" w:ascii="Times New Roman" w:hAnsi="Times New Roman" w:eastAsia="方正小标宋简体" w:cs="Times New Roman"/>
          <w:color w:val="auto"/>
          <w:sz w:val="44"/>
          <w:szCs w:val="44"/>
          <w:highlight w:val="none"/>
          <w:lang w:eastAsia="zh-CN"/>
        </w:rPr>
      </w:pPr>
      <w:bookmarkStart w:id="0" w:name="_GoBack"/>
      <w:bookmarkEnd w:id="0"/>
      <w:r>
        <w:rPr>
          <w:rFonts w:hint="eastAsia" w:ascii="Times New Roman" w:hAnsi="Times New Roman" w:eastAsia="方正小标宋简体" w:cs="Times New Roman"/>
          <w:bCs/>
          <w:color w:val="auto"/>
          <w:sz w:val="44"/>
          <w:szCs w:val="44"/>
          <w:highlight w:val="none"/>
          <w:lang w:val="en-US" w:eastAsia="zh-CN"/>
        </w:rPr>
        <w:t>滕州</w:t>
      </w:r>
      <w:r>
        <w:rPr>
          <w:rFonts w:hint="default" w:ascii="Times New Roman" w:hAnsi="Times New Roman" w:eastAsia="方正小标宋简体" w:cs="Times New Roman"/>
          <w:bCs/>
          <w:color w:val="auto"/>
          <w:sz w:val="44"/>
          <w:szCs w:val="44"/>
          <w:highlight w:val="none"/>
          <w:lang w:eastAsia="zh-CN"/>
        </w:rPr>
        <w:t>市人力资源和社会保障局</w:t>
      </w:r>
    </w:p>
    <w:p w14:paraId="4CCE8379">
      <w:pPr>
        <w:keepNext w:val="0"/>
        <w:keepLines w:val="0"/>
        <w:pageBreakBefore w:val="0"/>
        <w:widowControl w:val="0"/>
        <w:kinsoku/>
        <w:autoSpaceDN/>
        <w:bidi w:val="0"/>
        <w:adjustRightInd/>
        <w:snapToGrid/>
        <w:spacing w:line="580" w:lineRule="exact"/>
        <w:jc w:val="center"/>
        <w:textAlignment w:val="auto"/>
        <w:rPr>
          <w:rFonts w:hint="default" w:ascii="Times New Roman" w:hAnsi="Times New Roman" w:eastAsia="方正小标宋简体" w:cs="Times New Roman"/>
          <w:bCs/>
          <w:color w:val="auto"/>
          <w:sz w:val="44"/>
          <w:szCs w:val="44"/>
          <w:highlight w:val="none"/>
          <w:lang w:eastAsia="zh-CN"/>
        </w:rPr>
      </w:pPr>
      <w:r>
        <w:rPr>
          <w:rFonts w:hint="default" w:ascii="Times New Roman" w:hAnsi="Times New Roman" w:eastAsia="方正小标宋简体" w:cs="Times New Roman"/>
          <w:color w:val="auto"/>
          <w:sz w:val="44"/>
          <w:szCs w:val="44"/>
          <w:highlight w:val="none"/>
          <w:lang w:eastAsia="zh-CN"/>
        </w:rPr>
        <w:t>关于做好</w:t>
      </w:r>
      <w:r>
        <w:rPr>
          <w:rFonts w:hint="default" w:ascii="Times New Roman" w:hAnsi="Times New Roman" w:eastAsia="方正小标宋简体" w:cs="Times New Roman"/>
          <w:bCs/>
          <w:color w:val="auto"/>
          <w:sz w:val="44"/>
          <w:szCs w:val="44"/>
          <w:highlight w:val="none"/>
        </w:rPr>
        <w:t>202</w:t>
      </w:r>
      <w:r>
        <w:rPr>
          <w:rFonts w:hint="eastAsia" w:ascii="Times New Roman" w:hAnsi="Times New Roman" w:eastAsia="方正小标宋简体" w:cs="Times New Roman"/>
          <w:bCs/>
          <w:color w:val="auto"/>
          <w:sz w:val="44"/>
          <w:szCs w:val="44"/>
          <w:highlight w:val="none"/>
          <w:lang w:val="en-US" w:eastAsia="zh-CN"/>
        </w:rPr>
        <w:t>6</w:t>
      </w:r>
      <w:r>
        <w:rPr>
          <w:rFonts w:hint="default" w:ascii="Times New Roman" w:hAnsi="Times New Roman" w:eastAsia="方正小标宋简体" w:cs="Times New Roman"/>
          <w:bCs/>
          <w:color w:val="auto"/>
          <w:sz w:val="44"/>
          <w:szCs w:val="44"/>
          <w:highlight w:val="none"/>
        </w:rPr>
        <w:t>年度</w:t>
      </w:r>
      <w:r>
        <w:rPr>
          <w:rFonts w:hint="default" w:ascii="Times New Roman" w:hAnsi="Times New Roman" w:eastAsia="方正小标宋简体" w:cs="Times New Roman"/>
          <w:color w:val="auto"/>
          <w:sz w:val="44"/>
          <w:szCs w:val="44"/>
          <w:highlight w:val="none"/>
          <w:lang w:eastAsia="zh-CN"/>
        </w:rPr>
        <w:t>职称评审工作</w:t>
      </w:r>
      <w:r>
        <w:rPr>
          <w:rFonts w:hint="default" w:ascii="Times New Roman" w:hAnsi="Times New Roman" w:eastAsia="方正小标宋简体" w:cs="Times New Roman"/>
          <w:color w:val="auto"/>
          <w:sz w:val="44"/>
          <w:szCs w:val="44"/>
          <w:highlight w:val="none"/>
        </w:rPr>
        <w:t>的</w:t>
      </w:r>
      <w:r>
        <w:rPr>
          <w:rFonts w:hint="default" w:ascii="Times New Roman" w:hAnsi="Times New Roman" w:eastAsia="方正小标宋简体" w:cs="Times New Roman"/>
          <w:color w:val="auto"/>
          <w:sz w:val="44"/>
          <w:szCs w:val="44"/>
          <w:highlight w:val="none"/>
          <w:lang w:eastAsia="zh-CN"/>
        </w:rPr>
        <w:t>公告</w:t>
      </w:r>
    </w:p>
    <w:p w14:paraId="2A0F57EF">
      <w:pPr>
        <w:keepNext w:val="0"/>
        <w:keepLines w:val="0"/>
        <w:pageBreakBefore w:val="0"/>
        <w:widowControl w:val="0"/>
        <w:kinsoku/>
        <w:wordWrap/>
        <w:overflowPunct w:val="0"/>
        <w:topLinePunct/>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p>
    <w:p w14:paraId="0C5FE800">
      <w:pPr>
        <w:keepNext w:val="0"/>
        <w:keepLines w:val="0"/>
        <w:pageBreakBefore w:val="0"/>
        <w:widowControl w:val="0"/>
        <w:kinsoku/>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根据《山东省人力资源和社会保障厅关于印发山东省职称评审管理服务实施办法的通知》（鲁人社规〔2021〕1号）</w:t>
      </w:r>
      <w:r>
        <w:rPr>
          <w:rFonts w:hint="default" w:ascii="Times New Roman" w:hAnsi="Times New Roman" w:eastAsia="仿宋_GB2312" w:cs="Times New Roman"/>
          <w:color w:val="auto"/>
          <w:sz w:val="32"/>
          <w:szCs w:val="32"/>
          <w:highlight w:val="none"/>
          <w:lang w:eastAsia="zh-CN"/>
        </w:rPr>
        <w:t>、《山东省人力资源和社会保障厅关于做好202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年度职称评审工作的公告》</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枣庄</w:t>
      </w:r>
      <w:r>
        <w:rPr>
          <w:rFonts w:hint="default" w:ascii="Times New Roman" w:hAnsi="Times New Roman" w:eastAsia="仿宋_GB2312" w:cs="Times New Roman"/>
          <w:color w:val="auto"/>
          <w:sz w:val="32"/>
          <w:szCs w:val="32"/>
          <w:highlight w:val="none"/>
          <w:lang w:eastAsia="zh-CN"/>
        </w:rPr>
        <w:t>市人力资源和社会保障局关于做好</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年度</w:t>
      </w:r>
      <w:r>
        <w:rPr>
          <w:rFonts w:hint="default" w:ascii="Times New Roman" w:hAnsi="Times New Roman" w:eastAsia="仿宋_GB2312" w:cs="Times New Roman"/>
          <w:color w:val="auto"/>
          <w:sz w:val="32"/>
          <w:szCs w:val="32"/>
          <w:highlight w:val="none"/>
          <w:lang w:eastAsia="zh-CN"/>
        </w:rPr>
        <w:t>职称评审工作</w:t>
      </w:r>
      <w:r>
        <w:rPr>
          <w:rFonts w:hint="default" w:ascii="Times New Roman" w:hAnsi="Times New Roman" w:eastAsia="仿宋_GB2312" w:cs="Times New Roman"/>
          <w:color w:val="auto"/>
          <w:sz w:val="32"/>
          <w:szCs w:val="32"/>
          <w:highlight w:val="none"/>
        </w:rPr>
        <w:t>的</w:t>
      </w:r>
      <w:r>
        <w:rPr>
          <w:rFonts w:hint="default" w:ascii="Times New Roman" w:hAnsi="Times New Roman" w:eastAsia="仿宋_GB2312" w:cs="Times New Roman"/>
          <w:color w:val="auto"/>
          <w:sz w:val="32"/>
          <w:szCs w:val="32"/>
          <w:highlight w:val="none"/>
          <w:lang w:eastAsia="zh-CN"/>
        </w:rPr>
        <w:t>公告</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枣人社字</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29</w:t>
      </w:r>
      <w:r>
        <w:rPr>
          <w:rFonts w:hint="default" w:ascii="Times New Roman" w:hAnsi="Times New Roman" w:eastAsia="仿宋_GB2312" w:cs="Times New Roman"/>
          <w:color w:val="auto"/>
          <w:sz w:val="32"/>
          <w:szCs w:val="32"/>
          <w:highlight w:val="none"/>
        </w:rPr>
        <w:t>号</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等有关要求，现将</w:t>
      </w:r>
      <w:r>
        <w:rPr>
          <w:rFonts w:hint="default" w:ascii="Times New Roman" w:hAnsi="Times New Roman" w:eastAsia="仿宋_GB2312" w:cs="Times New Roman"/>
          <w:color w:val="auto"/>
          <w:sz w:val="32"/>
          <w:szCs w:val="32"/>
          <w:highlight w:val="none"/>
          <w:lang w:val="en-US" w:eastAsia="zh-CN"/>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年度我市职称评审工作有关事项公告如下：</w:t>
      </w:r>
    </w:p>
    <w:p w14:paraId="23C48270">
      <w:pPr>
        <w:keepNext w:val="0"/>
        <w:keepLines w:val="0"/>
        <w:pageBreakBefore w:val="0"/>
        <w:widowControl w:val="0"/>
        <w:kinsoku/>
        <w:wordWrap/>
        <w:overflowPunct w:val="0"/>
        <w:topLinePunct/>
        <w:autoSpaceDE/>
        <w:autoSpaceDN/>
        <w:bidi w:val="0"/>
        <w:adjustRightInd/>
        <w:snapToGrid/>
        <w:spacing w:line="600" w:lineRule="exact"/>
        <w:ind w:left="0" w:leftChars="0" w:firstLine="640" w:firstLineChars="200"/>
        <w:jc w:val="both"/>
        <w:textAlignment w:val="auto"/>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一、申报时间及地址</w:t>
      </w:r>
    </w:p>
    <w:p w14:paraId="7054C6B1">
      <w:pPr>
        <w:keepNext w:val="0"/>
        <w:keepLines w:val="0"/>
        <w:pageBreakBefore w:val="0"/>
        <w:widowControl w:val="0"/>
        <w:kinsoku/>
        <w:wordWrap/>
        <w:overflowPunct w:val="0"/>
        <w:topLinePunct/>
        <w:autoSpaceDE/>
        <w:autoSpaceDN/>
        <w:bidi w:val="0"/>
        <w:adjustRightInd/>
        <w:snapToGrid/>
        <w:spacing w:line="600" w:lineRule="exact"/>
        <w:ind w:left="0" w:leftChars="0" w:firstLine="640" w:firstLineChars="200"/>
        <w:jc w:val="both"/>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w:t>
      </w:r>
      <w:r>
        <w:rPr>
          <w:rFonts w:hint="eastAsia" w:ascii="Times New Roman" w:hAnsi="Times New Roman" w:eastAsia="楷体_GB2312" w:cs="Times New Roman"/>
          <w:color w:val="auto"/>
          <w:sz w:val="32"/>
          <w:szCs w:val="32"/>
          <w:highlight w:val="none"/>
          <w:lang w:val="en-US" w:eastAsia="zh-CN"/>
        </w:rPr>
        <w:t>高级职称申报材料</w:t>
      </w:r>
      <w:r>
        <w:rPr>
          <w:rFonts w:hint="default" w:ascii="Times New Roman" w:hAnsi="Times New Roman" w:eastAsia="楷体_GB2312" w:cs="Times New Roman"/>
          <w:color w:val="auto"/>
          <w:sz w:val="32"/>
          <w:szCs w:val="32"/>
          <w:highlight w:val="none"/>
        </w:rPr>
        <w:t xml:space="preserve"> </w:t>
      </w:r>
    </w:p>
    <w:p w14:paraId="496B2602">
      <w:pPr>
        <w:keepNext w:val="0"/>
        <w:keepLines w:val="0"/>
        <w:pageBreakBefore w:val="0"/>
        <w:widowControl w:val="0"/>
        <w:numPr>
          <w:ilvl w:val="0"/>
          <w:numId w:val="0"/>
        </w:numPr>
        <w:kinsoku/>
        <w:wordWrap/>
        <w:overflowPunct w:val="0"/>
        <w:topLinePunct/>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b/>
          <w:bCs/>
          <w:color w:val="auto"/>
          <w:sz w:val="32"/>
          <w:szCs w:val="32"/>
          <w:highlight w:val="none"/>
        </w:rPr>
        <w:t>农业技术</w:t>
      </w:r>
      <w:r>
        <w:rPr>
          <w:rFonts w:hint="default" w:ascii="Times New Roman" w:hAnsi="Times New Roman" w:eastAsia="仿宋_GB2312" w:cs="Times New Roman"/>
          <w:b w:val="0"/>
          <w:bCs w:val="0"/>
          <w:color w:val="auto"/>
          <w:sz w:val="32"/>
          <w:szCs w:val="32"/>
          <w:highlight w:val="none"/>
        </w:rPr>
        <w:t>副高</w:t>
      </w:r>
      <w:r>
        <w:rPr>
          <w:rFonts w:hint="default" w:ascii="Times New Roman" w:hAnsi="Times New Roman" w:eastAsia="仿宋_GB2312" w:cs="Times New Roman"/>
          <w:b w:val="0"/>
          <w:bCs w:val="0"/>
          <w:color w:val="auto"/>
          <w:sz w:val="32"/>
          <w:szCs w:val="32"/>
          <w:highlight w:val="none"/>
          <w:lang w:eastAsia="zh-CN"/>
        </w:rPr>
        <w:t>级</w:t>
      </w:r>
      <w:r>
        <w:rPr>
          <w:rFonts w:hint="default" w:ascii="Times New Roman" w:hAnsi="Times New Roman" w:eastAsia="仿宋_GB2312" w:cs="Times New Roman"/>
          <w:b w:val="0"/>
          <w:bCs w:val="0"/>
          <w:color w:val="auto"/>
          <w:sz w:val="32"/>
          <w:szCs w:val="32"/>
          <w:highlight w:val="none"/>
        </w:rPr>
        <w:t>（含基层农业</w:t>
      </w:r>
      <w:r>
        <w:rPr>
          <w:rFonts w:hint="eastAsia" w:ascii="Times New Roman" w:hAnsi="Times New Roman" w:eastAsia="仿宋_GB2312" w:cs="Times New Roman"/>
          <w:b w:val="0"/>
          <w:bCs w:val="0"/>
          <w:color w:val="auto"/>
          <w:sz w:val="32"/>
          <w:szCs w:val="32"/>
          <w:highlight w:val="none"/>
          <w:lang w:val="en-US" w:eastAsia="zh-CN"/>
        </w:rPr>
        <w:t>技术</w:t>
      </w:r>
      <w:r>
        <w:rPr>
          <w:rFonts w:hint="default" w:ascii="Times New Roman" w:hAnsi="Times New Roman" w:eastAsia="仿宋_GB2312" w:cs="Times New Roman"/>
          <w:b w:val="0"/>
          <w:bCs w:val="0"/>
          <w:color w:val="auto"/>
          <w:sz w:val="32"/>
          <w:szCs w:val="32"/>
          <w:highlight w:val="none"/>
        </w:rPr>
        <w:t>高级</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基层农业技术副高级证书换发</w:t>
      </w:r>
      <w:r>
        <w:rPr>
          <w:rFonts w:hint="default" w:ascii="Times New Roman" w:hAnsi="Times New Roman" w:eastAsia="仿宋_GB2312" w:cs="Times New Roman"/>
          <w:b w:val="0"/>
          <w:bCs w:val="0"/>
          <w:color w:val="auto"/>
          <w:sz w:val="32"/>
          <w:szCs w:val="32"/>
          <w:highlight w:val="none"/>
        </w:rPr>
        <w:t>）申报材料受理时间为</w:t>
      </w:r>
      <w:r>
        <w:rPr>
          <w:rFonts w:hint="eastAsia" w:ascii="Times New Roman" w:hAnsi="Times New Roman" w:eastAsia="仿宋_GB2312" w:cs="Times New Roman"/>
          <w:b w:val="0"/>
          <w:bCs w:val="0"/>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rPr>
        <w:t>月</w:t>
      </w:r>
      <w:r>
        <w:rPr>
          <w:rFonts w:hint="eastAsia" w:ascii="Times New Roman" w:hAnsi="Times New Roman" w:eastAsia="仿宋_GB2312" w:cs="Times New Roman"/>
          <w:b w:val="0"/>
          <w:bCs w:val="0"/>
          <w:color w:val="auto"/>
          <w:sz w:val="32"/>
          <w:szCs w:val="32"/>
          <w:highlight w:val="none"/>
          <w:lang w:val="en-US" w:eastAsia="zh-CN"/>
        </w:rPr>
        <w:t>3</w:t>
      </w:r>
      <w:r>
        <w:rPr>
          <w:rFonts w:hint="default" w:ascii="Times New Roman" w:hAnsi="Times New Roman" w:eastAsia="仿宋_GB2312" w:cs="Times New Roman"/>
          <w:b w:val="0"/>
          <w:bCs w:val="0"/>
          <w:color w:val="auto"/>
          <w:sz w:val="32"/>
          <w:szCs w:val="32"/>
          <w:highlight w:val="none"/>
        </w:rPr>
        <w:t>日</w:t>
      </w: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rPr>
        <w:t>月</w:t>
      </w:r>
      <w:r>
        <w:rPr>
          <w:rFonts w:hint="eastAsia" w:ascii="Times New Roman" w:hAnsi="Times New Roman" w:eastAsia="仿宋_GB2312" w:cs="Times New Roman"/>
          <w:b w:val="0"/>
          <w:bCs w:val="0"/>
          <w:color w:val="auto"/>
          <w:sz w:val="32"/>
          <w:szCs w:val="32"/>
          <w:highlight w:val="none"/>
          <w:lang w:val="en-US" w:eastAsia="zh-CN"/>
        </w:rPr>
        <w:t>10</w:t>
      </w:r>
      <w:r>
        <w:rPr>
          <w:rFonts w:hint="default" w:ascii="Times New Roman" w:hAnsi="Times New Roman" w:eastAsia="仿宋_GB2312" w:cs="Times New Roman"/>
          <w:b w:val="0"/>
          <w:bCs w:val="0"/>
          <w:color w:val="auto"/>
          <w:sz w:val="32"/>
          <w:szCs w:val="32"/>
          <w:highlight w:val="none"/>
        </w:rPr>
        <w:t>日</w:t>
      </w:r>
      <w:r>
        <w:rPr>
          <w:rFonts w:hint="default" w:ascii="Times New Roman" w:hAnsi="Times New Roman" w:eastAsia="仿宋_GB2312" w:cs="Times New Roman"/>
          <w:b w:val="0"/>
          <w:bCs w:val="0"/>
          <w:color w:val="auto"/>
          <w:sz w:val="32"/>
          <w:szCs w:val="32"/>
          <w:highlight w:val="none"/>
          <w:lang w:eastAsia="zh-CN"/>
        </w:rPr>
        <w:t>，纸质</w:t>
      </w:r>
      <w:r>
        <w:rPr>
          <w:rFonts w:hint="default" w:ascii="Times New Roman" w:hAnsi="Times New Roman" w:eastAsia="仿宋_GB2312" w:cs="Times New Roman"/>
          <w:b w:val="0"/>
          <w:bCs w:val="0"/>
          <w:color w:val="auto"/>
          <w:sz w:val="32"/>
          <w:szCs w:val="32"/>
          <w:highlight w:val="none"/>
        </w:rPr>
        <w:t>材料</w:t>
      </w:r>
      <w:r>
        <w:rPr>
          <w:rFonts w:hint="default" w:ascii="Times New Roman" w:hAnsi="Times New Roman" w:eastAsia="仿宋_GB2312" w:cs="Times New Roman"/>
          <w:b w:val="0"/>
          <w:bCs w:val="0"/>
          <w:color w:val="auto"/>
          <w:sz w:val="32"/>
          <w:szCs w:val="32"/>
          <w:highlight w:val="none"/>
          <w:lang w:eastAsia="zh-CN"/>
        </w:rPr>
        <w:t>报送</w:t>
      </w:r>
      <w:r>
        <w:rPr>
          <w:rFonts w:hint="default" w:ascii="Times New Roman" w:hAnsi="Times New Roman" w:eastAsia="仿宋_GB2312" w:cs="Times New Roman"/>
          <w:b w:val="0"/>
          <w:bCs w:val="0"/>
          <w:color w:val="auto"/>
          <w:sz w:val="32"/>
          <w:szCs w:val="32"/>
          <w:highlight w:val="none"/>
        </w:rPr>
        <w:t>时间为</w:t>
      </w:r>
      <w:r>
        <w:rPr>
          <w:rFonts w:hint="eastAsia" w:ascii="Times New Roman" w:hAnsi="Times New Roman" w:eastAsia="仿宋_GB2312" w:cs="Times New Roman"/>
          <w:b w:val="0"/>
          <w:bCs w:val="0"/>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lang w:val="en-US" w:eastAsia="zh-CN"/>
        </w:rPr>
        <w:t>月</w:t>
      </w:r>
      <w:r>
        <w:rPr>
          <w:rFonts w:hint="eastAsia" w:ascii="Times New Roman" w:hAnsi="Times New Roman" w:eastAsia="仿宋_GB2312" w:cs="Times New Roman"/>
          <w:b w:val="0"/>
          <w:bCs w:val="0"/>
          <w:color w:val="auto"/>
          <w:sz w:val="32"/>
          <w:szCs w:val="32"/>
          <w:highlight w:val="none"/>
          <w:lang w:val="en-US" w:eastAsia="zh-CN"/>
        </w:rPr>
        <w:t>21</w:t>
      </w:r>
      <w:r>
        <w:rPr>
          <w:rFonts w:hint="default" w:ascii="Times New Roman" w:hAnsi="Times New Roman" w:eastAsia="仿宋_GB2312" w:cs="Times New Roman"/>
          <w:b w:val="0"/>
          <w:bCs w:val="0"/>
          <w:color w:val="auto"/>
          <w:sz w:val="32"/>
          <w:szCs w:val="32"/>
          <w:highlight w:val="none"/>
          <w:lang w:val="en-US" w:eastAsia="zh-CN"/>
        </w:rPr>
        <w:t>日</w:t>
      </w: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lang w:val="en-US" w:eastAsia="zh-CN"/>
        </w:rPr>
        <w:t>月</w:t>
      </w:r>
      <w:r>
        <w:rPr>
          <w:rFonts w:hint="eastAsia" w:ascii="Times New Roman" w:hAnsi="Times New Roman" w:eastAsia="仿宋_GB2312" w:cs="Times New Roman"/>
          <w:b w:val="0"/>
          <w:bCs w:val="0"/>
          <w:color w:val="auto"/>
          <w:sz w:val="32"/>
          <w:szCs w:val="32"/>
          <w:highlight w:val="none"/>
          <w:lang w:val="en-US" w:eastAsia="zh-CN"/>
        </w:rPr>
        <w:t>26</w:t>
      </w:r>
      <w:r>
        <w:rPr>
          <w:rFonts w:hint="default" w:ascii="Times New Roman" w:hAnsi="Times New Roman" w:eastAsia="仿宋_GB2312" w:cs="Times New Roman"/>
          <w:b w:val="0"/>
          <w:bCs w:val="0"/>
          <w:color w:val="auto"/>
          <w:sz w:val="32"/>
          <w:szCs w:val="32"/>
          <w:highlight w:val="none"/>
        </w:rPr>
        <w:t>日</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bCs/>
          <w:color w:val="auto"/>
          <w:sz w:val="32"/>
          <w:szCs w:val="32"/>
          <w:highlight w:val="none"/>
          <w:lang w:eastAsia="zh-CN"/>
        </w:rPr>
        <w:t>经济</w:t>
      </w:r>
      <w:r>
        <w:rPr>
          <w:rFonts w:hint="default" w:ascii="Times New Roman" w:hAnsi="Times New Roman" w:eastAsia="仿宋_GB2312" w:cs="Times New Roman"/>
          <w:b w:val="0"/>
          <w:bCs w:val="0"/>
          <w:color w:val="auto"/>
          <w:sz w:val="32"/>
          <w:szCs w:val="32"/>
          <w:highlight w:val="none"/>
          <w:lang w:eastAsia="zh-CN"/>
        </w:rPr>
        <w:t>副高级</w:t>
      </w:r>
      <w:r>
        <w:rPr>
          <w:rFonts w:hint="default" w:ascii="Times New Roman" w:hAnsi="Times New Roman" w:eastAsia="仿宋_GB2312" w:cs="Times New Roman"/>
          <w:b w:val="0"/>
          <w:bCs w:val="0"/>
          <w:color w:val="auto"/>
          <w:sz w:val="32"/>
          <w:szCs w:val="32"/>
          <w:highlight w:val="none"/>
        </w:rPr>
        <w:t>申报材料受理时间为</w:t>
      </w:r>
      <w:r>
        <w:rPr>
          <w:rFonts w:hint="default" w:ascii="Times New Roman" w:hAnsi="Times New Roman" w:eastAsia="仿宋_GB2312" w:cs="Times New Roman"/>
          <w:b w:val="0"/>
          <w:bCs w:val="0"/>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rPr>
        <w:t>月</w:t>
      </w:r>
      <w:r>
        <w:rPr>
          <w:rFonts w:hint="eastAsia" w:ascii="Times New Roman" w:hAnsi="Times New Roman" w:eastAsia="仿宋_GB2312" w:cs="Times New Roman"/>
          <w:b w:val="0"/>
          <w:bCs w:val="0"/>
          <w:color w:val="auto"/>
          <w:sz w:val="32"/>
          <w:szCs w:val="32"/>
          <w:highlight w:val="none"/>
          <w:lang w:val="en-US" w:eastAsia="zh-CN"/>
        </w:rPr>
        <w:t>10</w:t>
      </w:r>
      <w:r>
        <w:rPr>
          <w:rFonts w:hint="default" w:ascii="Times New Roman" w:hAnsi="Times New Roman" w:eastAsia="仿宋_GB2312" w:cs="Times New Roman"/>
          <w:b w:val="0"/>
          <w:bCs w:val="0"/>
          <w:color w:val="auto"/>
          <w:sz w:val="32"/>
          <w:szCs w:val="32"/>
          <w:highlight w:val="none"/>
        </w:rPr>
        <w:t>日</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rPr>
        <w:t>月</w:t>
      </w:r>
      <w:r>
        <w:rPr>
          <w:rFonts w:hint="eastAsia" w:ascii="Times New Roman" w:hAnsi="Times New Roman" w:eastAsia="仿宋_GB2312" w:cs="Times New Roman"/>
          <w:b w:val="0"/>
          <w:bCs w:val="0"/>
          <w:color w:val="auto"/>
          <w:sz w:val="32"/>
          <w:szCs w:val="32"/>
          <w:highlight w:val="none"/>
          <w:lang w:val="en-US" w:eastAsia="zh-CN"/>
        </w:rPr>
        <w:t>19</w:t>
      </w:r>
      <w:r>
        <w:rPr>
          <w:rFonts w:hint="default" w:ascii="Times New Roman" w:hAnsi="Times New Roman" w:eastAsia="仿宋_GB2312" w:cs="Times New Roman"/>
          <w:b w:val="0"/>
          <w:bCs w:val="0"/>
          <w:color w:val="auto"/>
          <w:sz w:val="32"/>
          <w:szCs w:val="32"/>
          <w:highlight w:val="none"/>
        </w:rPr>
        <w:t>日</w:t>
      </w:r>
      <w:r>
        <w:rPr>
          <w:rFonts w:hint="default" w:ascii="Times New Roman" w:hAnsi="Times New Roman" w:eastAsia="仿宋_GB2312" w:cs="Times New Roman"/>
          <w:b w:val="0"/>
          <w:bCs w:val="0"/>
          <w:color w:val="auto"/>
          <w:sz w:val="32"/>
          <w:szCs w:val="32"/>
          <w:highlight w:val="none"/>
          <w:lang w:eastAsia="zh-CN"/>
        </w:rPr>
        <w:t>，纸质</w:t>
      </w:r>
      <w:r>
        <w:rPr>
          <w:rFonts w:hint="default" w:ascii="Times New Roman" w:hAnsi="Times New Roman" w:eastAsia="仿宋_GB2312" w:cs="Times New Roman"/>
          <w:b w:val="0"/>
          <w:bCs w:val="0"/>
          <w:color w:val="auto"/>
          <w:sz w:val="32"/>
          <w:szCs w:val="32"/>
          <w:highlight w:val="none"/>
        </w:rPr>
        <w:t>材料</w:t>
      </w:r>
      <w:r>
        <w:rPr>
          <w:rFonts w:hint="default" w:ascii="Times New Roman" w:hAnsi="Times New Roman" w:eastAsia="仿宋_GB2312" w:cs="Times New Roman"/>
          <w:b w:val="0"/>
          <w:bCs w:val="0"/>
          <w:color w:val="auto"/>
          <w:sz w:val="32"/>
          <w:szCs w:val="32"/>
          <w:highlight w:val="none"/>
          <w:lang w:eastAsia="zh-CN"/>
        </w:rPr>
        <w:t>报送</w:t>
      </w:r>
      <w:r>
        <w:rPr>
          <w:rFonts w:hint="default" w:ascii="Times New Roman" w:hAnsi="Times New Roman" w:eastAsia="仿宋_GB2312" w:cs="Times New Roman"/>
          <w:b w:val="0"/>
          <w:bCs w:val="0"/>
          <w:color w:val="auto"/>
          <w:sz w:val="32"/>
          <w:szCs w:val="32"/>
          <w:highlight w:val="none"/>
        </w:rPr>
        <w:t>时间为</w:t>
      </w:r>
      <w:r>
        <w:rPr>
          <w:rFonts w:hint="eastAsia" w:ascii="Times New Roman" w:hAnsi="Times New Roman" w:eastAsia="仿宋_GB2312" w:cs="Times New Roman"/>
          <w:b w:val="0"/>
          <w:bCs w:val="0"/>
          <w:color w:val="auto"/>
          <w:sz w:val="32"/>
          <w:szCs w:val="32"/>
          <w:highlight w:val="none"/>
          <w:lang w:val="en-US" w:eastAsia="zh-CN"/>
        </w:rPr>
        <w:t>9</w:t>
      </w:r>
      <w:r>
        <w:rPr>
          <w:rFonts w:hint="default" w:ascii="Times New Roman" w:hAnsi="Times New Roman" w:eastAsia="仿宋_GB2312" w:cs="Times New Roman"/>
          <w:b w:val="0"/>
          <w:bCs w:val="0"/>
          <w:color w:val="auto"/>
          <w:sz w:val="32"/>
          <w:szCs w:val="32"/>
          <w:highlight w:val="none"/>
          <w:lang w:val="en-US" w:eastAsia="zh-CN"/>
        </w:rPr>
        <w:t>月</w:t>
      </w:r>
      <w:r>
        <w:rPr>
          <w:rFonts w:hint="eastAsia" w:ascii="Times New Roman" w:hAnsi="Times New Roman" w:eastAsia="仿宋_GB2312" w:cs="Times New Roman"/>
          <w:b w:val="0"/>
          <w:bCs w:val="0"/>
          <w:color w:val="auto"/>
          <w:sz w:val="32"/>
          <w:szCs w:val="32"/>
          <w:highlight w:val="none"/>
          <w:lang w:val="en-US" w:eastAsia="zh-CN"/>
        </w:rPr>
        <w:t>11</w:t>
      </w:r>
      <w:r>
        <w:rPr>
          <w:rFonts w:hint="default" w:ascii="Times New Roman" w:hAnsi="Times New Roman" w:eastAsia="仿宋_GB2312" w:cs="Times New Roman"/>
          <w:b w:val="0"/>
          <w:bCs w:val="0"/>
          <w:color w:val="auto"/>
          <w:sz w:val="32"/>
          <w:szCs w:val="32"/>
          <w:highlight w:val="none"/>
          <w:lang w:val="en-US" w:eastAsia="zh-CN"/>
        </w:rPr>
        <w:t>日</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9</w:t>
      </w:r>
      <w:r>
        <w:rPr>
          <w:rFonts w:hint="default" w:ascii="Times New Roman" w:hAnsi="Times New Roman" w:eastAsia="仿宋_GB2312" w:cs="Times New Roman"/>
          <w:b w:val="0"/>
          <w:bCs w:val="0"/>
          <w:color w:val="auto"/>
          <w:sz w:val="32"/>
          <w:szCs w:val="32"/>
          <w:highlight w:val="none"/>
          <w:lang w:val="en-US" w:eastAsia="zh-CN"/>
        </w:rPr>
        <w:t>月</w:t>
      </w:r>
      <w:r>
        <w:rPr>
          <w:rFonts w:hint="eastAsia" w:ascii="Times New Roman" w:hAnsi="Times New Roman" w:eastAsia="仿宋_GB2312" w:cs="Times New Roman"/>
          <w:b w:val="0"/>
          <w:bCs w:val="0"/>
          <w:color w:val="auto"/>
          <w:sz w:val="32"/>
          <w:szCs w:val="32"/>
          <w:highlight w:val="none"/>
          <w:lang w:val="en-US" w:eastAsia="zh-CN"/>
        </w:rPr>
        <w:t>16</w:t>
      </w:r>
      <w:r>
        <w:rPr>
          <w:rFonts w:hint="default" w:ascii="Times New Roman" w:hAnsi="Times New Roman" w:eastAsia="仿宋_GB2312" w:cs="Times New Roman"/>
          <w:b w:val="0"/>
          <w:bCs w:val="0"/>
          <w:color w:val="auto"/>
          <w:sz w:val="32"/>
          <w:szCs w:val="32"/>
          <w:highlight w:val="none"/>
          <w:lang w:val="en-US" w:eastAsia="zh-CN"/>
        </w:rPr>
        <w:t>日</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bCs/>
          <w:color w:val="auto"/>
          <w:sz w:val="32"/>
          <w:szCs w:val="32"/>
          <w:highlight w:val="none"/>
        </w:rPr>
        <w:t>工程技术</w:t>
      </w:r>
      <w:r>
        <w:rPr>
          <w:rFonts w:hint="default" w:ascii="Times New Roman" w:hAnsi="Times New Roman" w:eastAsia="仿宋_GB2312" w:cs="Times New Roman"/>
          <w:b w:val="0"/>
          <w:bCs w:val="0"/>
          <w:color w:val="auto"/>
          <w:sz w:val="32"/>
          <w:szCs w:val="32"/>
          <w:highlight w:val="none"/>
        </w:rPr>
        <w:t>副高</w:t>
      </w:r>
      <w:r>
        <w:rPr>
          <w:rFonts w:hint="default" w:ascii="Times New Roman" w:hAnsi="Times New Roman" w:eastAsia="仿宋_GB2312" w:cs="Times New Roman"/>
          <w:b w:val="0"/>
          <w:bCs w:val="0"/>
          <w:color w:val="auto"/>
          <w:sz w:val="32"/>
          <w:szCs w:val="32"/>
          <w:highlight w:val="none"/>
          <w:lang w:eastAsia="zh-CN"/>
        </w:rPr>
        <w:t>级</w:t>
      </w:r>
      <w:r>
        <w:rPr>
          <w:rFonts w:hint="default" w:ascii="Times New Roman" w:hAnsi="Times New Roman" w:eastAsia="仿宋_GB2312" w:cs="Times New Roman"/>
          <w:b w:val="0"/>
          <w:bCs w:val="0"/>
          <w:color w:val="auto"/>
          <w:sz w:val="32"/>
          <w:szCs w:val="32"/>
          <w:highlight w:val="none"/>
        </w:rPr>
        <w:t>（含基层工程高级</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基层工程技术副高级证书换发</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color w:val="auto"/>
          <w:sz w:val="32"/>
          <w:szCs w:val="32"/>
          <w:highlight w:val="none"/>
        </w:rPr>
        <w:t>申报材料受理时间为</w:t>
      </w:r>
      <w:r>
        <w:rPr>
          <w:rFonts w:hint="eastAsia"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日</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eastAsia="zh-CN"/>
        </w:rPr>
        <w:t>纸质</w:t>
      </w:r>
      <w:r>
        <w:rPr>
          <w:rFonts w:hint="default" w:ascii="Times New Roman" w:hAnsi="Times New Roman" w:eastAsia="仿宋_GB2312" w:cs="Times New Roman"/>
          <w:b w:val="0"/>
          <w:bCs w:val="0"/>
          <w:color w:val="auto"/>
          <w:sz w:val="32"/>
          <w:szCs w:val="32"/>
          <w:highlight w:val="none"/>
        </w:rPr>
        <w:t>材料</w:t>
      </w:r>
      <w:r>
        <w:rPr>
          <w:rFonts w:hint="default" w:ascii="Times New Roman" w:hAnsi="Times New Roman" w:eastAsia="仿宋_GB2312" w:cs="Times New Roman"/>
          <w:b w:val="0"/>
          <w:bCs w:val="0"/>
          <w:color w:val="auto"/>
          <w:sz w:val="32"/>
          <w:szCs w:val="32"/>
          <w:highlight w:val="none"/>
          <w:lang w:eastAsia="zh-CN"/>
        </w:rPr>
        <w:t>报送</w:t>
      </w:r>
      <w:r>
        <w:rPr>
          <w:rFonts w:hint="default" w:ascii="Times New Roman" w:hAnsi="Times New Roman" w:eastAsia="仿宋_GB2312" w:cs="Times New Roman"/>
          <w:b w:val="0"/>
          <w:bCs w:val="0"/>
          <w:color w:val="auto"/>
          <w:sz w:val="32"/>
          <w:szCs w:val="32"/>
          <w:highlight w:val="none"/>
        </w:rPr>
        <w:t>时间</w:t>
      </w:r>
      <w:r>
        <w:rPr>
          <w:rFonts w:hint="default" w:ascii="Times New Roman" w:hAnsi="Times New Roman" w:eastAsia="仿宋_GB2312" w:cs="Times New Roman"/>
          <w:color w:val="auto"/>
          <w:sz w:val="32"/>
          <w:szCs w:val="32"/>
          <w:highlight w:val="none"/>
        </w:rPr>
        <w:t>为</w:t>
      </w: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26</w:t>
      </w:r>
      <w:r>
        <w:rPr>
          <w:rFonts w:hint="default" w:ascii="Times New Roman" w:hAnsi="Times New Roman" w:eastAsia="仿宋_GB2312" w:cs="Times New Roman"/>
          <w:color w:val="auto"/>
          <w:sz w:val="32"/>
          <w:szCs w:val="32"/>
          <w:highlight w:val="none"/>
        </w:rPr>
        <w:t>日</w:t>
      </w:r>
      <w:r>
        <w:rPr>
          <w:rFonts w:hint="eastAsia"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日</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我市基层统计高级职称申报时间与山东省统计局组织的统计高级职称申报时间保持一致，请及时关注省统计局评审通知。</w:t>
      </w:r>
    </w:p>
    <w:p w14:paraId="7691CE9F">
      <w:pPr>
        <w:keepNext w:val="0"/>
        <w:keepLines w:val="0"/>
        <w:pageBreakBefore w:val="0"/>
        <w:widowControl w:val="0"/>
        <w:kinsoku/>
        <w:wordWrap/>
        <w:overflowPunct w:val="0"/>
        <w:topLinePunct/>
        <w:autoSpaceDE/>
        <w:autoSpaceDN/>
        <w:bidi w:val="0"/>
        <w:adjustRightInd/>
        <w:snapToGrid/>
        <w:spacing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卫生技术副高</w:t>
      </w:r>
      <w:r>
        <w:rPr>
          <w:rFonts w:hint="default" w:ascii="Times New Roman" w:hAnsi="Times New Roman" w:eastAsia="仿宋_GB2312" w:cs="Times New Roman"/>
          <w:color w:val="auto"/>
          <w:sz w:val="32"/>
          <w:szCs w:val="32"/>
          <w:highlight w:val="none"/>
          <w:lang w:eastAsia="zh-CN"/>
        </w:rPr>
        <w:t>级、</w:t>
      </w:r>
      <w:r>
        <w:rPr>
          <w:rFonts w:hint="default" w:ascii="Times New Roman" w:hAnsi="Times New Roman" w:eastAsia="仿宋_GB2312" w:cs="Times New Roman"/>
          <w:color w:val="auto"/>
          <w:sz w:val="32"/>
          <w:szCs w:val="32"/>
          <w:highlight w:val="none"/>
        </w:rPr>
        <w:t>基层卫生</w:t>
      </w:r>
      <w:r>
        <w:rPr>
          <w:rFonts w:hint="eastAsia" w:ascii="Times New Roman" w:hAnsi="Times New Roman" w:eastAsia="仿宋_GB2312" w:cs="Times New Roman"/>
          <w:color w:val="auto"/>
          <w:sz w:val="32"/>
          <w:szCs w:val="32"/>
          <w:highlight w:val="none"/>
          <w:lang w:val="en-US" w:eastAsia="zh-CN"/>
        </w:rPr>
        <w:t>技术</w:t>
      </w:r>
      <w:r>
        <w:rPr>
          <w:rFonts w:hint="default" w:ascii="Times New Roman" w:hAnsi="Times New Roman" w:eastAsia="仿宋_GB2312" w:cs="Times New Roman"/>
          <w:color w:val="auto"/>
          <w:sz w:val="32"/>
          <w:szCs w:val="32"/>
          <w:highlight w:val="none"/>
        </w:rPr>
        <w:t>高级</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中小学教师高级、</w:t>
      </w:r>
      <w:r>
        <w:rPr>
          <w:rFonts w:hint="default" w:ascii="Times New Roman" w:hAnsi="Times New Roman" w:eastAsia="仿宋_GB2312" w:cs="Times New Roman"/>
          <w:color w:val="auto"/>
          <w:sz w:val="32"/>
          <w:szCs w:val="32"/>
          <w:highlight w:val="none"/>
          <w:lang w:eastAsia="zh-CN"/>
        </w:rPr>
        <w:t>基层中小学教师高级、中等职业学校</w:t>
      </w:r>
      <w:r>
        <w:rPr>
          <w:rFonts w:hint="default" w:ascii="Times New Roman" w:hAnsi="Times New Roman" w:eastAsia="仿宋_GB2312" w:cs="Times New Roman"/>
          <w:color w:val="auto"/>
          <w:sz w:val="32"/>
          <w:szCs w:val="32"/>
          <w:highlight w:val="none"/>
        </w:rPr>
        <w:t>教师高级申报材料受理</w:t>
      </w:r>
      <w:r>
        <w:rPr>
          <w:rFonts w:hint="default" w:ascii="Times New Roman" w:hAnsi="Times New Roman" w:eastAsia="仿宋_GB2312" w:cs="Times New Roman"/>
          <w:color w:val="auto"/>
          <w:sz w:val="32"/>
          <w:szCs w:val="32"/>
          <w:highlight w:val="none"/>
          <w:lang w:eastAsia="zh-CN"/>
        </w:rPr>
        <w:t>事项由主管部门</w:t>
      </w:r>
      <w:r>
        <w:rPr>
          <w:rFonts w:hint="default" w:ascii="Times New Roman" w:hAnsi="Times New Roman" w:eastAsia="仿宋_GB2312" w:cs="Times New Roman"/>
          <w:color w:val="auto"/>
          <w:sz w:val="32"/>
          <w:szCs w:val="32"/>
          <w:highlight w:val="none"/>
        </w:rPr>
        <w:t>另行通知。</w:t>
      </w:r>
    </w:p>
    <w:p w14:paraId="5194BA48">
      <w:pPr>
        <w:keepNext w:val="0"/>
        <w:keepLines w:val="0"/>
        <w:pageBreakBefore w:val="0"/>
        <w:widowControl w:val="0"/>
        <w:numPr>
          <w:ilvl w:val="0"/>
          <w:numId w:val="0"/>
        </w:numPr>
        <w:kinsoku/>
        <w:wordWrap w:val="0"/>
        <w:overflowPunct w:val="0"/>
        <w:topLinePunct/>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其他系列</w:t>
      </w:r>
      <w:r>
        <w:rPr>
          <w:rFonts w:hint="default" w:ascii="Times New Roman" w:hAnsi="Times New Roman" w:eastAsia="仿宋_GB2312" w:cs="Times New Roman"/>
          <w:color w:val="auto"/>
          <w:sz w:val="32"/>
          <w:szCs w:val="32"/>
          <w:highlight w:val="none"/>
          <w:lang w:eastAsia="zh-CN"/>
        </w:rPr>
        <w:t>高级职称申报</w:t>
      </w:r>
      <w:r>
        <w:rPr>
          <w:rFonts w:hint="default" w:ascii="Times New Roman" w:hAnsi="Times New Roman" w:eastAsia="仿宋_GB2312" w:cs="Times New Roman"/>
          <w:color w:val="auto"/>
          <w:sz w:val="32"/>
          <w:szCs w:val="32"/>
          <w:highlight w:val="none"/>
        </w:rPr>
        <w:t>时间由省</w:t>
      </w:r>
      <w:r>
        <w:rPr>
          <w:rFonts w:hint="default" w:ascii="Times New Roman" w:hAnsi="Times New Roman" w:eastAsia="仿宋_GB2312" w:cs="Times New Roman"/>
          <w:color w:val="auto"/>
          <w:sz w:val="32"/>
          <w:szCs w:val="32"/>
          <w:highlight w:val="none"/>
          <w:lang w:eastAsia="zh-CN"/>
        </w:rPr>
        <w:t>级高级</w:t>
      </w:r>
      <w:r>
        <w:rPr>
          <w:rFonts w:hint="default" w:ascii="Times New Roman" w:hAnsi="Times New Roman" w:eastAsia="仿宋_GB2312" w:cs="Times New Roman"/>
          <w:color w:val="auto"/>
          <w:sz w:val="32"/>
          <w:szCs w:val="32"/>
          <w:highlight w:val="none"/>
        </w:rPr>
        <w:t>职称评审委员会办事机构确定，请及时</w:t>
      </w:r>
      <w:r>
        <w:rPr>
          <w:rFonts w:hint="default" w:ascii="Times New Roman" w:hAnsi="Times New Roman" w:eastAsia="仿宋_GB2312" w:cs="Times New Roman"/>
          <w:color w:val="auto"/>
          <w:sz w:val="32"/>
          <w:szCs w:val="32"/>
          <w:highlight w:val="none"/>
          <w:lang w:eastAsia="zh-CN"/>
        </w:rPr>
        <w:t>通过</w:t>
      </w:r>
      <w:r>
        <w:rPr>
          <w:rFonts w:hint="eastAsia" w:ascii="Times New Roman" w:hAnsi="Times New Roman" w:eastAsia="仿宋_GB2312" w:cs="Times New Roman"/>
          <w:color w:val="auto"/>
          <w:sz w:val="32"/>
          <w:szCs w:val="32"/>
          <w:highlight w:val="none"/>
          <w:lang w:eastAsia="zh-CN"/>
        </w:rPr>
        <w:t>“山东省专业技术人员管理服务平台”（</w:t>
      </w:r>
      <w:r>
        <w:rPr>
          <w:rFonts w:hint="eastAsia" w:ascii="Times New Roman" w:hAnsi="Times New Roman" w:eastAsia="仿宋_GB2312" w:cs="Times New Roman"/>
          <w:color w:val="auto"/>
          <w:sz w:val="32"/>
          <w:szCs w:val="32"/>
          <w:highlight w:val="none"/>
          <w:lang w:val="en-US" w:eastAsia="zh-CN"/>
        </w:rPr>
        <w:t>以下简称“服务平台”，网址：https://117.73.253.239:9000/sdzc-web-ui/business/login/login.html）</w:t>
      </w:r>
      <w:r>
        <w:rPr>
          <w:rFonts w:hint="default" w:ascii="Times New Roman" w:hAnsi="Times New Roman" w:eastAsia="仿宋_GB2312" w:cs="Times New Roman"/>
          <w:color w:val="auto"/>
          <w:sz w:val="32"/>
          <w:szCs w:val="32"/>
          <w:highlight w:val="none"/>
          <w:lang w:eastAsia="zh-CN"/>
        </w:rPr>
        <w:t>的</w:t>
      </w:r>
      <w:r>
        <w:rPr>
          <w:rFonts w:hint="eastAsia" w:ascii="Times New Roman" w:hAnsi="Times New Roman" w:eastAsia="仿宋_GB2312" w:cs="Times New Roman"/>
          <w:color w:val="auto"/>
          <w:sz w:val="32"/>
          <w:szCs w:val="32"/>
          <w:highlight w:val="none"/>
          <w:lang w:eastAsia="zh-CN"/>
        </w:rPr>
        <w:t>“通知公告”</w:t>
      </w:r>
      <w:r>
        <w:rPr>
          <w:rFonts w:hint="default" w:ascii="Times New Roman" w:hAnsi="Times New Roman" w:eastAsia="仿宋_GB2312" w:cs="Times New Roman"/>
          <w:color w:val="auto"/>
          <w:sz w:val="32"/>
          <w:szCs w:val="32"/>
          <w:highlight w:val="none"/>
          <w:lang w:eastAsia="zh-CN"/>
        </w:rPr>
        <w:t>专栏或枣庄市人力资源和社会保障局官网（http://zzhrss.zaozhuang.gov.cn/）的</w:t>
      </w:r>
      <w:r>
        <w:rPr>
          <w:rFonts w:hint="eastAsia" w:ascii="Times New Roman" w:hAnsi="Times New Roman" w:eastAsia="仿宋_GB2312" w:cs="Times New Roman"/>
          <w:color w:val="auto"/>
          <w:sz w:val="32"/>
          <w:szCs w:val="32"/>
          <w:highlight w:val="none"/>
          <w:lang w:eastAsia="zh-CN"/>
        </w:rPr>
        <w:t>“职称评定”</w:t>
      </w:r>
      <w:r>
        <w:rPr>
          <w:rFonts w:hint="default" w:ascii="Times New Roman" w:hAnsi="Times New Roman" w:eastAsia="仿宋_GB2312" w:cs="Times New Roman"/>
          <w:color w:val="auto"/>
          <w:sz w:val="32"/>
          <w:szCs w:val="32"/>
          <w:highlight w:val="none"/>
          <w:lang w:eastAsia="zh-CN"/>
        </w:rPr>
        <w:t>专栏</w:t>
      </w:r>
      <w:r>
        <w:rPr>
          <w:rFonts w:hint="default" w:ascii="Times New Roman" w:hAnsi="Times New Roman" w:eastAsia="仿宋_GB2312" w:cs="Times New Roman"/>
          <w:color w:val="auto"/>
          <w:sz w:val="32"/>
          <w:szCs w:val="32"/>
          <w:highlight w:val="none"/>
        </w:rPr>
        <w:t>查看，不再另行通知。</w:t>
      </w:r>
    </w:p>
    <w:p w14:paraId="62C380F5">
      <w:pPr>
        <w:keepNext w:val="0"/>
        <w:keepLines w:val="0"/>
        <w:pageBreakBefore w:val="0"/>
        <w:widowControl w:val="0"/>
        <w:numPr>
          <w:ilvl w:val="0"/>
          <w:numId w:val="0"/>
        </w:numPr>
        <w:kinsoku/>
        <w:wordWrap/>
        <w:overflowPunct w:val="0"/>
        <w:topLinePunct/>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“专精特新”</w:t>
      </w:r>
      <w:r>
        <w:rPr>
          <w:rFonts w:hint="default" w:ascii="Times New Roman" w:hAnsi="Times New Roman" w:eastAsia="仿宋_GB2312" w:cs="Times New Roman"/>
          <w:color w:val="auto"/>
          <w:sz w:val="32"/>
          <w:szCs w:val="32"/>
          <w:highlight w:val="none"/>
          <w:lang w:val="en-US" w:eastAsia="zh-CN"/>
        </w:rPr>
        <w:t>中小企业和制造业单项冠军企业（以下简称</w:t>
      </w:r>
      <w:r>
        <w:rPr>
          <w:rFonts w:hint="eastAsia" w:ascii="Times New Roman" w:hAnsi="Times New Roman" w:eastAsia="仿宋_GB2312" w:cs="Times New Roman"/>
          <w:color w:val="auto"/>
          <w:sz w:val="32"/>
          <w:szCs w:val="32"/>
          <w:highlight w:val="none"/>
          <w:lang w:val="en-US" w:eastAsia="zh-CN"/>
        </w:rPr>
        <w:t>“专精特新”</w:t>
      </w:r>
      <w:r>
        <w:rPr>
          <w:rFonts w:hint="default" w:ascii="Times New Roman" w:hAnsi="Times New Roman" w:eastAsia="仿宋_GB2312" w:cs="Times New Roman"/>
          <w:color w:val="auto"/>
          <w:sz w:val="32"/>
          <w:szCs w:val="32"/>
          <w:highlight w:val="none"/>
          <w:lang w:val="en-US" w:eastAsia="zh-CN"/>
        </w:rPr>
        <w:t>企业）专业技术人才申报高级工程师时间与工程技术副高级一致，申报正高级工程师时间</w:t>
      </w:r>
      <w:r>
        <w:rPr>
          <w:rFonts w:hint="default" w:ascii="Times New Roman" w:hAnsi="Times New Roman" w:eastAsia="仿宋_GB2312" w:cs="Times New Roman"/>
          <w:color w:val="auto"/>
          <w:sz w:val="32"/>
          <w:szCs w:val="32"/>
          <w:highlight w:val="none"/>
        </w:rPr>
        <w:t>由省</w:t>
      </w:r>
      <w:r>
        <w:rPr>
          <w:rFonts w:hint="default" w:ascii="Times New Roman" w:hAnsi="Times New Roman" w:eastAsia="仿宋_GB2312" w:cs="Times New Roman"/>
          <w:color w:val="auto"/>
          <w:sz w:val="32"/>
          <w:szCs w:val="32"/>
          <w:highlight w:val="none"/>
          <w:lang w:eastAsia="zh-CN"/>
        </w:rPr>
        <w:t>工程技术高级</w:t>
      </w:r>
      <w:r>
        <w:rPr>
          <w:rFonts w:hint="default" w:ascii="Times New Roman" w:hAnsi="Times New Roman" w:eastAsia="仿宋_GB2312" w:cs="Times New Roman"/>
          <w:color w:val="auto"/>
          <w:sz w:val="32"/>
          <w:szCs w:val="32"/>
          <w:highlight w:val="none"/>
        </w:rPr>
        <w:t>评审委员会办事机构确定</w:t>
      </w:r>
      <w:r>
        <w:rPr>
          <w:rFonts w:hint="default" w:ascii="Times New Roman" w:hAnsi="Times New Roman" w:eastAsia="仿宋_GB2312" w:cs="Times New Roman"/>
          <w:color w:val="auto"/>
          <w:sz w:val="32"/>
          <w:szCs w:val="32"/>
          <w:highlight w:val="none"/>
          <w:lang w:eastAsia="zh-CN"/>
        </w:rPr>
        <w:t>。</w:t>
      </w:r>
    </w:p>
    <w:p w14:paraId="2D5898ED">
      <w:pPr>
        <w:keepNext w:val="0"/>
        <w:keepLines w:val="0"/>
        <w:pageBreakBefore w:val="0"/>
        <w:widowControl w:val="0"/>
        <w:numPr>
          <w:ilvl w:val="0"/>
          <w:numId w:val="0"/>
        </w:numPr>
        <w:kinsoku/>
        <w:wordWrap/>
        <w:overflowPunct w:val="0"/>
        <w:topLinePunct/>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snapToGrid w:val="0"/>
          <w:color w:val="auto"/>
          <w:kern w:val="0"/>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仿宋_GB2312"/>
          <w:b w:val="0"/>
          <w:bCs w:val="0"/>
          <w:snapToGrid w:val="0"/>
          <w:color w:val="auto"/>
          <w:kern w:val="0"/>
          <w:sz w:val="32"/>
          <w:szCs w:val="32"/>
          <w:highlight w:val="none"/>
          <w:lang w:val="en-US" w:eastAsia="zh-CN"/>
        </w:rPr>
        <w:t>基层职称证书换发与年度职称申报评审同步进行，申报时间、申报程序、申报渠道、公示公布、证书发放等均与正常申报职称人员相同。</w:t>
      </w:r>
      <w:r>
        <w:rPr>
          <w:rFonts w:hint="eastAsia" w:ascii="Times New Roman" w:hAnsi="Times New Roman" w:eastAsia="仿宋_GB2312" w:cs="仿宋_GB2312"/>
          <w:snapToGrid w:val="0"/>
          <w:color w:val="auto"/>
          <w:kern w:val="0"/>
          <w:sz w:val="32"/>
          <w:szCs w:val="32"/>
          <w:highlight w:val="none"/>
          <w:lang w:val="en-US" w:eastAsia="zh-CN"/>
        </w:rPr>
        <w:t>基层中小学教师副高级、正高级职称证书，基层卫生技术副高级职称证书</w:t>
      </w:r>
      <w:r>
        <w:rPr>
          <w:rFonts w:hint="eastAsia" w:ascii="Times New Roman" w:hAnsi="Times New Roman" w:eastAsia="仿宋_GB2312" w:cs="Times New Roman"/>
          <w:color w:val="auto"/>
          <w:sz w:val="32"/>
          <w:szCs w:val="32"/>
          <w:highlight w:val="none"/>
          <w:lang w:val="en-US" w:eastAsia="zh-CN"/>
        </w:rPr>
        <w:t>换发材料受理事项</w:t>
      </w:r>
      <w:r>
        <w:rPr>
          <w:rFonts w:hint="default" w:ascii="Times New Roman" w:hAnsi="Times New Roman" w:eastAsia="仿宋_GB2312" w:cs="Times New Roman"/>
          <w:color w:val="auto"/>
          <w:sz w:val="32"/>
          <w:szCs w:val="32"/>
          <w:highlight w:val="none"/>
          <w:lang w:eastAsia="zh-CN"/>
        </w:rPr>
        <w:t>由</w:t>
      </w:r>
      <w:r>
        <w:rPr>
          <w:rFonts w:hint="eastAsia" w:ascii="Times New Roman" w:hAnsi="Times New Roman" w:eastAsia="仿宋_GB2312" w:cs="Times New Roman"/>
          <w:color w:val="auto"/>
          <w:sz w:val="32"/>
          <w:szCs w:val="32"/>
          <w:highlight w:val="none"/>
          <w:lang w:val="en-US" w:eastAsia="zh-CN"/>
        </w:rPr>
        <w:t>市级行业</w:t>
      </w:r>
      <w:r>
        <w:rPr>
          <w:rFonts w:hint="default" w:ascii="Times New Roman" w:hAnsi="Times New Roman" w:eastAsia="仿宋_GB2312" w:cs="Times New Roman"/>
          <w:color w:val="auto"/>
          <w:sz w:val="32"/>
          <w:szCs w:val="32"/>
          <w:highlight w:val="none"/>
          <w:lang w:eastAsia="zh-CN"/>
        </w:rPr>
        <w:t>主管部门</w:t>
      </w:r>
      <w:r>
        <w:rPr>
          <w:rFonts w:hint="default" w:ascii="Times New Roman" w:hAnsi="Times New Roman" w:eastAsia="仿宋_GB2312" w:cs="Times New Roman"/>
          <w:color w:val="auto"/>
          <w:sz w:val="32"/>
          <w:szCs w:val="32"/>
          <w:highlight w:val="none"/>
        </w:rPr>
        <w:t>另行通知</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其他系列</w:t>
      </w:r>
      <w:r>
        <w:rPr>
          <w:rFonts w:hint="eastAsia" w:ascii="Times New Roman" w:hAnsi="Times New Roman" w:eastAsia="仿宋_GB2312" w:cs="仿宋_GB2312"/>
          <w:snapToGrid w:val="0"/>
          <w:color w:val="auto"/>
          <w:kern w:val="0"/>
          <w:sz w:val="32"/>
          <w:szCs w:val="32"/>
          <w:highlight w:val="none"/>
          <w:lang w:val="en-US" w:eastAsia="zh-CN"/>
        </w:rPr>
        <w:t>高级基层职称证书换发</w:t>
      </w:r>
      <w:r>
        <w:rPr>
          <w:rFonts w:hint="eastAsia" w:ascii="Times New Roman" w:hAnsi="Times New Roman" w:eastAsia="仿宋_GB2312" w:cs="Times New Roman"/>
          <w:color w:val="auto"/>
          <w:sz w:val="32"/>
          <w:szCs w:val="32"/>
          <w:highlight w:val="none"/>
          <w:lang w:val="en-US" w:eastAsia="zh-CN"/>
        </w:rPr>
        <w:t>材料受理事项由</w:t>
      </w:r>
      <w:r>
        <w:rPr>
          <w:rFonts w:hint="eastAsia" w:ascii="Times New Roman" w:hAnsi="Times New Roman" w:eastAsia="仿宋_GB2312" w:cs="仿宋_GB2312"/>
          <w:snapToGrid w:val="0"/>
          <w:color w:val="auto"/>
          <w:kern w:val="0"/>
          <w:sz w:val="32"/>
          <w:szCs w:val="32"/>
          <w:highlight w:val="none"/>
          <w:lang w:val="en-US" w:eastAsia="zh-CN"/>
        </w:rPr>
        <w:t>省级行业主管部门确定。</w:t>
      </w:r>
    </w:p>
    <w:p w14:paraId="25B69375">
      <w:pPr>
        <w:keepNext w:val="0"/>
        <w:keepLines w:val="0"/>
        <w:pageBreakBefore w:val="0"/>
        <w:widowControl w:val="0"/>
        <w:kinsoku/>
        <w:wordWrap/>
        <w:overflowPunct w:val="0"/>
        <w:topLinePunct/>
        <w:autoSpaceDE/>
        <w:autoSpaceDN/>
        <w:bidi w:val="0"/>
        <w:adjustRightInd/>
        <w:snapToGrid/>
        <w:spacing w:beforeAutospacing="0" w:afterAutospacing="0" w:line="580" w:lineRule="exact"/>
        <w:ind w:left="638" w:leftChars="304" w:firstLine="0" w:firstLineChars="0"/>
        <w:jc w:val="both"/>
        <w:textAlignment w:val="auto"/>
        <w:outlineLvl w:val="9"/>
        <w:rPr>
          <w:rFonts w:hint="eastAsia" w:ascii="方正仿宋_GB2312" w:hAnsi="方正仿宋_GB2312" w:eastAsia="方正仿宋_GB2312" w:cs="方正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报送地址：</w:t>
      </w:r>
      <w:r>
        <w:rPr>
          <w:rFonts w:hint="eastAsia" w:ascii="仿宋_GB2312" w:hAnsi="仿宋_GB2312" w:eastAsia="仿宋_GB2312" w:cs="仿宋_GB2312"/>
          <w:sz w:val="32"/>
          <w:szCs w:val="32"/>
          <w:highlight w:val="none"/>
          <w:lang w:val="en-US" w:eastAsia="zh-CN"/>
        </w:rPr>
        <w:t>滕州市北辛中路1699号（市人社局A331室）</w:t>
      </w:r>
    </w:p>
    <w:p w14:paraId="0336004D">
      <w:pPr>
        <w:keepNext w:val="0"/>
        <w:keepLines w:val="0"/>
        <w:pageBreakBefore w:val="0"/>
        <w:widowControl w:val="0"/>
        <w:kinsoku/>
        <w:wordWrap/>
        <w:overflowPunct w:val="0"/>
        <w:topLinePunct/>
        <w:autoSpaceDE/>
        <w:autoSpaceDN/>
        <w:bidi w:val="0"/>
        <w:adjustRightInd/>
        <w:snapToGrid/>
        <w:spacing w:beforeAutospacing="0" w:afterAutospacing="0" w:line="580" w:lineRule="exact"/>
        <w:ind w:left="638" w:leftChars="304" w:firstLine="0" w:firstLineChars="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联系电话：0632-5513165</w:t>
      </w:r>
    </w:p>
    <w:p w14:paraId="11D27497">
      <w:pPr>
        <w:keepNext w:val="0"/>
        <w:keepLines w:val="0"/>
        <w:pageBreakBefore w:val="0"/>
        <w:widowControl w:val="0"/>
        <w:kinsoku/>
        <w:wordWrap/>
        <w:overflowPunct w:val="0"/>
        <w:topLinePunct/>
        <w:autoSpaceDE/>
        <w:autoSpaceDN/>
        <w:bidi w:val="0"/>
        <w:adjustRightInd/>
        <w:snapToGrid/>
        <w:spacing w:line="600" w:lineRule="exact"/>
        <w:ind w:left="0" w:leftChars="0" w:firstLine="640" w:firstLineChars="200"/>
        <w:jc w:val="both"/>
        <w:textAlignment w:val="auto"/>
        <w:rPr>
          <w:rFonts w:hint="eastAsia" w:ascii="Times New Roman" w:hAnsi="Times New Roman" w:eastAsia="楷体_GB2312" w:cs="Times New Roman"/>
          <w:color w:val="auto"/>
          <w:sz w:val="32"/>
          <w:szCs w:val="32"/>
          <w:highlight w:val="none"/>
        </w:rPr>
      </w:pPr>
      <w:r>
        <w:rPr>
          <w:rFonts w:hint="eastAsia" w:ascii="Times New Roman" w:hAnsi="Times New Roman" w:eastAsia="楷体_GB2312" w:cs="Times New Roman"/>
          <w:color w:val="auto"/>
          <w:sz w:val="32"/>
          <w:szCs w:val="32"/>
          <w:highlight w:val="none"/>
        </w:rPr>
        <w:t>（二）中级职称申报材料</w:t>
      </w:r>
    </w:p>
    <w:p w14:paraId="2B6AA487">
      <w:pPr>
        <w:keepNext w:val="0"/>
        <w:keepLines w:val="0"/>
        <w:pageBreakBefore w:val="0"/>
        <w:widowControl w:val="0"/>
        <w:numPr>
          <w:ilvl w:val="0"/>
          <w:numId w:val="0"/>
        </w:numPr>
        <w:kinsoku/>
        <w:wordWrap/>
        <w:overflowPunct w:val="0"/>
        <w:topLinePunct/>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napToGrid w:val="0"/>
          <w:color w:val="auto"/>
          <w:kern w:val="0"/>
          <w:sz w:val="32"/>
          <w:szCs w:val="32"/>
          <w:highlight w:val="none"/>
          <w:lang w:val="en-US" w:eastAsia="zh-CN"/>
        </w:rPr>
      </w:pPr>
      <w:r>
        <w:rPr>
          <w:rFonts w:hint="eastAsia" w:ascii="仿宋_GB2312" w:hAnsi="仿宋_GB2312" w:eastAsia="仿宋_GB2312" w:cs="仿宋_GB2312"/>
          <w:snapToGrid w:val="0"/>
          <w:color w:val="auto"/>
          <w:kern w:val="0"/>
          <w:sz w:val="32"/>
          <w:szCs w:val="32"/>
          <w:highlight w:val="none"/>
          <w:lang w:val="en-US" w:eastAsia="zh-CN"/>
        </w:rPr>
        <w:t>申报时间：8月24日-10月16日</w:t>
      </w:r>
    </w:p>
    <w:p w14:paraId="3207B75D">
      <w:pPr>
        <w:keepNext w:val="0"/>
        <w:keepLines w:val="0"/>
        <w:pageBreakBefore w:val="0"/>
        <w:widowControl w:val="0"/>
        <w:kinsoku/>
        <w:wordWrap/>
        <w:overflowPunct w:val="0"/>
        <w:topLinePunct/>
        <w:autoSpaceDE/>
        <w:autoSpaceDN/>
        <w:bidi w:val="0"/>
        <w:adjustRightInd/>
        <w:snapToGrid/>
        <w:spacing w:beforeAutospacing="0" w:afterAutospacing="0" w:line="580" w:lineRule="exact"/>
        <w:ind w:left="638" w:leftChars="304" w:firstLine="0" w:firstLineChars="0"/>
        <w:jc w:val="both"/>
        <w:textAlignment w:val="auto"/>
        <w:outlineLvl w:val="9"/>
        <w:rPr>
          <w:rFonts w:hint="eastAsia" w:ascii="仿宋_GB2312" w:hAnsi="仿宋_GB2312" w:eastAsia="仿宋_GB2312" w:cs="仿宋_GB2312"/>
          <w:snapToGrid w:val="0"/>
          <w:color w:val="auto"/>
          <w:kern w:val="0"/>
          <w:sz w:val="32"/>
          <w:szCs w:val="32"/>
          <w:highlight w:val="none"/>
          <w:lang w:val="en-US" w:eastAsia="zh-CN"/>
        </w:rPr>
      </w:pPr>
      <w:r>
        <w:rPr>
          <w:rFonts w:hint="eastAsia" w:ascii="仿宋_GB2312" w:hAnsi="仿宋_GB2312" w:eastAsia="仿宋_GB2312" w:cs="仿宋_GB2312"/>
          <w:snapToGrid w:val="0"/>
          <w:color w:val="auto"/>
          <w:kern w:val="0"/>
          <w:sz w:val="32"/>
          <w:szCs w:val="32"/>
          <w:highlight w:val="none"/>
          <w:lang w:val="en-US" w:eastAsia="zh-CN"/>
        </w:rPr>
        <w:t>报送地址：</w:t>
      </w:r>
      <w:r>
        <w:rPr>
          <w:rFonts w:hint="eastAsia" w:ascii="仿宋_GB2312" w:hAnsi="仿宋_GB2312" w:eastAsia="仿宋_GB2312" w:cs="仿宋_GB2312"/>
          <w:sz w:val="32"/>
          <w:szCs w:val="32"/>
          <w:highlight w:val="none"/>
          <w:lang w:val="en-US" w:eastAsia="zh-CN"/>
        </w:rPr>
        <w:t>滕州市北辛中路1699号（市人社局A331室）</w:t>
      </w:r>
    </w:p>
    <w:p w14:paraId="76C7989B">
      <w:pPr>
        <w:keepNext w:val="0"/>
        <w:keepLines w:val="0"/>
        <w:pageBreakBefore w:val="0"/>
        <w:widowControl w:val="0"/>
        <w:numPr>
          <w:ilvl w:val="0"/>
          <w:numId w:val="0"/>
        </w:numPr>
        <w:kinsoku/>
        <w:wordWrap/>
        <w:overflowPunct w:val="0"/>
        <w:topLinePunct/>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napToGrid w:val="0"/>
          <w:color w:val="auto"/>
          <w:kern w:val="0"/>
          <w:sz w:val="32"/>
          <w:szCs w:val="32"/>
          <w:highlight w:val="none"/>
          <w:lang w:val="en-US" w:eastAsia="zh-CN"/>
        </w:rPr>
      </w:pPr>
      <w:r>
        <w:rPr>
          <w:rFonts w:hint="eastAsia" w:ascii="仿宋_GB2312" w:hAnsi="仿宋_GB2312" w:eastAsia="仿宋_GB2312" w:cs="仿宋_GB2312"/>
          <w:snapToGrid w:val="0"/>
          <w:color w:val="auto"/>
          <w:kern w:val="0"/>
          <w:sz w:val="32"/>
          <w:szCs w:val="32"/>
          <w:highlight w:val="none"/>
          <w:lang w:val="en-US" w:eastAsia="zh-CN"/>
        </w:rPr>
        <w:t>联系电话：0632-5513165</w:t>
      </w:r>
    </w:p>
    <w:p w14:paraId="0D00FCD9">
      <w:pPr>
        <w:keepNext w:val="0"/>
        <w:keepLines w:val="0"/>
        <w:pageBreakBefore w:val="0"/>
        <w:widowControl w:val="0"/>
        <w:kinsoku/>
        <w:wordWrap/>
        <w:overflowPunct w:val="0"/>
        <w:topLinePunct/>
        <w:autoSpaceDE/>
        <w:autoSpaceDN/>
        <w:bidi w:val="0"/>
        <w:adjustRightInd/>
        <w:snapToGrid/>
        <w:spacing w:line="600" w:lineRule="exact"/>
        <w:ind w:left="0" w:leftChars="0" w:firstLine="640" w:firstLineChars="200"/>
        <w:jc w:val="both"/>
        <w:textAlignment w:val="auto"/>
        <w:rPr>
          <w:rFonts w:hint="eastAsia" w:ascii="Times New Roman" w:hAnsi="Times New Roman" w:eastAsia="楷体_GB2312" w:cs="Times New Roman"/>
          <w:color w:val="auto"/>
          <w:sz w:val="32"/>
          <w:szCs w:val="32"/>
          <w:highlight w:val="none"/>
        </w:rPr>
      </w:pPr>
      <w:r>
        <w:rPr>
          <w:rFonts w:hint="eastAsia" w:ascii="Times New Roman" w:hAnsi="Times New Roman" w:eastAsia="楷体_GB2312" w:cs="Times New Roman"/>
          <w:color w:val="auto"/>
          <w:sz w:val="32"/>
          <w:szCs w:val="32"/>
          <w:highlight w:val="none"/>
        </w:rPr>
        <w:t>（三）初级职称申报材料</w:t>
      </w:r>
    </w:p>
    <w:p w14:paraId="41933C47">
      <w:pPr>
        <w:keepNext w:val="0"/>
        <w:keepLines w:val="0"/>
        <w:pageBreakBefore w:val="0"/>
        <w:widowControl w:val="0"/>
        <w:kinsoku/>
        <w:wordWrap/>
        <w:overflowPunct w:val="0"/>
        <w:topLinePunct/>
        <w:autoSpaceDE/>
        <w:autoSpaceDN/>
        <w:bidi w:val="0"/>
        <w:adjustRightInd/>
        <w:snapToGrid/>
        <w:spacing w:beforeAutospacing="0" w:afterAutospacing="0" w:line="580" w:lineRule="exact"/>
        <w:ind w:left="638" w:leftChars="304" w:firstLine="0" w:firstLineChars="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申报时间：8月24日-10月16日</w:t>
      </w:r>
    </w:p>
    <w:p w14:paraId="0B3A6E9E">
      <w:pPr>
        <w:keepNext w:val="0"/>
        <w:keepLines w:val="0"/>
        <w:pageBreakBefore w:val="0"/>
        <w:widowControl w:val="0"/>
        <w:kinsoku/>
        <w:wordWrap/>
        <w:overflowPunct w:val="0"/>
        <w:topLinePunct/>
        <w:autoSpaceDE/>
        <w:autoSpaceDN/>
        <w:bidi w:val="0"/>
        <w:adjustRightInd/>
        <w:snapToGrid/>
        <w:spacing w:beforeAutospacing="0" w:afterAutospacing="0" w:line="580" w:lineRule="exact"/>
        <w:ind w:left="638" w:leftChars="304" w:firstLine="0" w:firstLineChars="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报送地址：请联系各呈报部门</w:t>
      </w:r>
    </w:p>
    <w:tbl>
      <w:tblPr>
        <w:tblStyle w:val="10"/>
        <w:tblW w:w="9170" w:type="dxa"/>
        <w:tblInd w:w="93" w:type="dxa"/>
        <w:tblLayout w:type="fixed"/>
        <w:tblCellMar>
          <w:top w:w="0" w:type="dxa"/>
          <w:left w:w="108" w:type="dxa"/>
          <w:bottom w:w="0" w:type="dxa"/>
          <w:right w:w="108" w:type="dxa"/>
        </w:tblCellMar>
      </w:tblPr>
      <w:tblGrid>
        <w:gridCol w:w="690"/>
        <w:gridCol w:w="4536"/>
        <w:gridCol w:w="2730"/>
        <w:gridCol w:w="1214"/>
      </w:tblGrid>
      <w:tr w14:paraId="4C01F54D">
        <w:tblPrEx>
          <w:tblCellMar>
            <w:top w:w="0" w:type="dxa"/>
            <w:left w:w="108" w:type="dxa"/>
            <w:bottom w:w="0" w:type="dxa"/>
            <w:right w:w="108" w:type="dxa"/>
          </w:tblCellMar>
        </w:tblPrEx>
        <w:trPr>
          <w:trHeight w:val="585"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1790420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序号</w:t>
            </w:r>
          </w:p>
        </w:tc>
        <w:tc>
          <w:tcPr>
            <w:tcW w:w="4536" w:type="dxa"/>
            <w:tcBorders>
              <w:top w:val="single" w:color="auto" w:sz="4" w:space="0"/>
              <w:left w:val="nil"/>
              <w:bottom w:val="single" w:color="auto" w:sz="4" w:space="0"/>
              <w:right w:val="single" w:color="auto" w:sz="4" w:space="0"/>
            </w:tcBorders>
            <w:noWrap/>
            <w:vAlign w:val="center"/>
          </w:tcPr>
          <w:p w14:paraId="20DFD7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初级评审委员会名称</w:t>
            </w:r>
          </w:p>
        </w:tc>
        <w:tc>
          <w:tcPr>
            <w:tcW w:w="2730" w:type="dxa"/>
            <w:tcBorders>
              <w:top w:val="single" w:color="auto" w:sz="4" w:space="0"/>
              <w:left w:val="nil"/>
              <w:bottom w:val="single" w:color="auto" w:sz="4" w:space="0"/>
              <w:right w:val="single" w:color="auto" w:sz="4" w:space="0"/>
            </w:tcBorders>
            <w:noWrap/>
            <w:vAlign w:val="center"/>
          </w:tcPr>
          <w:p w14:paraId="0B6F48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呈报部门</w:t>
            </w:r>
          </w:p>
        </w:tc>
        <w:tc>
          <w:tcPr>
            <w:tcW w:w="1214" w:type="dxa"/>
            <w:tcBorders>
              <w:top w:val="single" w:color="auto" w:sz="4" w:space="0"/>
              <w:left w:val="nil"/>
              <w:bottom w:val="single" w:color="auto" w:sz="4" w:space="0"/>
              <w:right w:val="single" w:color="auto" w:sz="4" w:space="0"/>
            </w:tcBorders>
            <w:noWrap/>
            <w:vAlign w:val="center"/>
          </w:tcPr>
          <w:p w14:paraId="022C861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联系电话</w:t>
            </w:r>
          </w:p>
        </w:tc>
      </w:tr>
      <w:tr w14:paraId="34567160">
        <w:tblPrEx>
          <w:tblCellMar>
            <w:top w:w="0" w:type="dxa"/>
            <w:left w:w="108" w:type="dxa"/>
            <w:bottom w:w="0" w:type="dxa"/>
            <w:right w:w="108" w:type="dxa"/>
          </w:tblCellMar>
        </w:tblPrEx>
        <w:trPr>
          <w:trHeight w:val="417" w:hRule="atLeast"/>
        </w:trPr>
        <w:tc>
          <w:tcPr>
            <w:tcW w:w="690" w:type="dxa"/>
            <w:tcBorders>
              <w:top w:val="nil"/>
              <w:left w:val="single" w:color="auto" w:sz="4" w:space="0"/>
              <w:bottom w:val="single" w:color="auto" w:sz="4" w:space="0"/>
              <w:right w:val="single" w:color="auto" w:sz="4" w:space="0"/>
            </w:tcBorders>
            <w:noWrap/>
            <w:vAlign w:val="center"/>
          </w:tcPr>
          <w:p w14:paraId="446992F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1</w:t>
            </w:r>
          </w:p>
        </w:tc>
        <w:tc>
          <w:tcPr>
            <w:tcW w:w="4536" w:type="dxa"/>
            <w:tcBorders>
              <w:top w:val="nil"/>
              <w:left w:val="nil"/>
              <w:bottom w:val="single" w:color="auto" w:sz="4" w:space="0"/>
              <w:right w:val="single" w:color="auto" w:sz="4" w:space="0"/>
            </w:tcBorders>
            <w:noWrap w:val="0"/>
            <w:vAlign w:val="center"/>
          </w:tcPr>
          <w:p w14:paraId="74BB081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滕州市工程技术职务初级评审委员会</w:t>
            </w:r>
          </w:p>
        </w:tc>
        <w:tc>
          <w:tcPr>
            <w:tcW w:w="2730" w:type="dxa"/>
            <w:tcBorders>
              <w:top w:val="nil"/>
              <w:left w:val="nil"/>
              <w:bottom w:val="single" w:color="auto" w:sz="4" w:space="0"/>
              <w:right w:val="single" w:color="auto" w:sz="4" w:space="0"/>
            </w:tcBorders>
            <w:noWrap/>
            <w:vAlign w:val="center"/>
          </w:tcPr>
          <w:p w14:paraId="3262E7B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市住房和城乡建设局</w:t>
            </w:r>
          </w:p>
        </w:tc>
        <w:tc>
          <w:tcPr>
            <w:tcW w:w="1214" w:type="dxa"/>
            <w:tcBorders>
              <w:top w:val="nil"/>
              <w:left w:val="nil"/>
              <w:bottom w:val="single" w:color="auto" w:sz="4" w:space="0"/>
              <w:right w:val="single" w:color="auto" w:sz="4" w:space="0"/>
            </w:tcBorders>
            <w:noWrap/>
            <w:vAlign w:val="center"/>
          </w:tcPr>
          <w:p w14:paraId="77326F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5583229</w:t>
            </w:r>
          </w:p>
        </w:tc>
      </w:tr>
      <w:tr w14:paraId="50D9CC1A">
        <w:tblPrEx>
          <w:tblCellMar>
            <w:top w:w="0" w:type="dxa"/>
            <w:left w:w="108" w:type="dxa"/>
            <w:bottom w:w="0" w:type="dxa"/>
            <w:right w:w="108" w:type="dxa"/>
          </w:tblCellMar>
        </w:tblPrEx>
        <w:trPr>
          <w:trHeight w:val="417" w:hRule="atLeast"/>
        </w:trPr>
        <w:tc>
          <w:tcPr>
            <w:tcW w:w="690" w:type="dxa"/>
            <w:tcBorders>
              <w:top w:val="nil"/>
              <w:left w:val="single" w:color="auto" w:sz="4" w:space="0"/>
              <w:bottom w:val="single" w:color="auto" w:sz="4" w:space="0"/>
              <w:right w:val="single" w:color="auto" w:sz="4" w:space="0"/>
            </w:tcBorders>
            <w:noWrap/>
            <w:vAlign w:val="center"/>
          </w:tcPr>
          <w:p w14:paraId="6699E4A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2</w:t>
            </w:r>
          </w:p>
        </w:tc>
        <w:tc>
          <w:tcPr>
            <w:tcW w:w="4536" w:type="dxa"/>
            <w:tcBorders>
              <w:top w:val="nil"/>
              <w:left w:val="nil"/>
              <w:bottom w:val="single" w:color="auto" w:sz="4" w:space="0"/>
              <w:right w:val="single" w:color="auto" w:sz="4" w:space="0"/>
            </w:tcBorders>
            <w:noWrap/>
            <w:vAlign w:val="center"/>
          </w:tcPr>
          <w:p w14:paraId="61B76FD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滕州市农业技术职务初级评审委员会</w:t>
            </w:r>
          </w:p>
        </w:tc>
        <w:tc>
          <w:tcPr>
            <w:tcW w:w="2730" w:type="dxa"/>
            <w:vMerge w:val="restart"/>
            <w:tcBorders>
              <w:top w:val="nil"/>
              <w:left w:val="nil"/>
              <w:right w:val="single" w:color="auto" w:sz="4" w:space="0"/>
            </w:tcBorders>
            <w:noWrap/>
            <w:vAlign w:val="center"/>
          </w:tcPr>
          <w:p w14:paraId="2C1A33D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市农业农村局</w:t>
            </w:r>
          </w:p>
        </w:tc>
        <w:tc>
          <w:tcPr>
            <w:tcW w:w="1214" w:type="dxa"/>
            <w:vMerge w:val="restart"/>
            <w:tcBorders>
              <w:top w:val="nil"/>
              <w:left w:val="nil"/>
              <w:right w:val="single" w:color="auto" w:sz="4" w:space="0"/>
            </w:tcBorders>
            <w:noWrap/>
            <w:vAlign w:val="center"/>
          </w:tcPr>
          <w:p w14:paraId="3F2E3C2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5523171</w:t>
            </w:r>
          </w:p>
        </w:tc>
      </w:tr>
      <w:tr w14:paraId="384686B7">
        <w:tblPrEx>
          <w:tblCellMar>
            <w:top w:w="0" w:type="dxa"/>
            <w:left w:w="108" w:type="dxa"/>
            <w:bottom w:w="0" w:type="dxa"/>
            <w:right w:w="108" w:type="dxa"/>
          </w:tblCellMar>
        </w:tblPrEx>
        <w:trPr>
          <w:trHeight w:val="417" w:hRule="atLeast"/>
        </w:trPr>
        <w:tc>
          <w:tcPr>
            <w:tcW w:w="690" w:type="dxa"/>
            <w:tcBorders>
              <w:top w:val="nil"/>
              <w:left w:val="single" w:color="auto" w:sz="4" w:space="0"/>
              <w:bottom w:val="single" w:color="auto" w:sz="4" w:space="0"/>
              <w:right w:val="single" w:color="auto" w:sz="4" w:space="0"/>
            </w:tcBorders>
            <w:noWrap/>
            <w:vAlign w:val="center"/>
          </w:tcPr>
          <w:p w14:paraId="1E9520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w:t>
            </w:r>
          </w:p>
        </w:tc>
        <w:tc>
          <w:tcPr>
            <w:tcW w:w="4536" w:type="dxa"/>
            <w:tcBorders>
              <w:top w:val="nil"/>
              <w:left w:val="nil"/>
              <w:bottom w:val="single" w:color="auto" w:sz="4" w:space="0"/>
              <w:right w:val="single" w:color="auto" w:sz="4" w:space="0"/>
            </w:tcBorders>
            <w:noWrap/>
            <w:vAlign w:val="center"/>
          </w:tcPr>
          <w:p w14:paraId="05D3CAC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滕州市新型职业农民职务资格初级评审委员会</w:t>
            </w:r>
          </w:p>
        </w:tc>
        <w:tc>
          <w:tcPr>
            <w:tcW w:w="2730" w:type="dxa"/>
            <w:vMerge w:val="continue"/>
            <w:tcBorders>
              <w:left w:val="nil"/>
              <w:bottom w:val="single" w:color="auto" w:sz="4" w:space="0"/>
              <w:right w:val="single" w:color="auto" w:sz="4" w:space="0"/>
            </w:tcBorders>
            <w:noWrap/>
            <w:vAlign w:val="center"/>
          </w:tcPr>
          <w:p w14:paraId="6772DDC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c>
          <w:tcPr>
            <w:tcW w:w="1214" w:type="dxa"/>
            <w:vMerge w:val="continue"/>
            <w:tcBorders>
              <w:left w:val="nil"/>
              <w:bottom w:val="single" w:color="auto" w:sz="4" w:space="0"/>
              <w:right w:val="single" w:color="auto" w:sz="4" w:space="0"/>
            </w:tcBorders>
            <w:noWrap/>
            <w:vAlign w:val="center"/>
          </w:tcPr>
          <w:p w14:paraId="6CE4031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r>
      <w:tr w14:paraId="71941EAB">
        <w:tblPrEx>
          <w:tblCellMar>
            <w:top w:w="0" w:type="dxa"/>
            <w:left w:w="108" w:type="dxa"/>
            <w:bottom w:w="0" w:type="dxa"/>
            <w:right w:w="108" w:type="dxa"/>
          </w:tblCellMar>
        </w:tblPrEx>
        <w:trPr>
          <w:trHeight w:val="417" w:hRule="atLeast"/>
        </w:trPr>
        <w:tc>
          <w:tcPr>
            <w:tcW w:w="690" w:type="dxa"/>
            <w:tcBorders>
              <w:top w:val="nil"/>
              <w:left w:val="single" w:color="auto" w:sz="4" w:space="0"/>
              <w:bottom w:val="single" w:color="auto" w:sz="4" w:space="0"/>
              <w:right w:val="single" w:color="auto" w:sz="4" w:space="0"/>
            </w:tcBorders>
            <w:noWrap/>
            <w:vAlign w:val="center"/>
          </w:tcPr>
          <w:p w14:paraId="03A904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4</w:t>
            </w:r>
          </w:p>
        </w:tc>
        <w:tc>
          <w:tcPr>
            <w:tcW w:w="4536" w:type="dxa"/>
            <w:tcBorders>
              <w:top w:val="nil"/>
              <w:left w:val="nil"/>
              <w:bottom w:val="single" w:color="auto" w:sz="4" w:space="0"/>
              <w:right w:val="single" w:color="auto" w:sz="4" w:space="0"/>
            </w:tcBorders>
            <w:noWrap/>
            <w:vAlign w:val="center"/>
          </w:tcPr>
          <w:p w14:paraId="2E9AA0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滕州市药品技术职务初级评审委员会</w:t>
            </w:r>
          </w:p>
        </w:tc>
        <w:tc>
          <w:tcPr>
            <w:tcW w:w="2730" w:type="dxa"/>
            <w:tcBorders>
              <w:top w:val="nil"/>
              <w:left w:val="nil"/>
              <w:bottom w:val="single" w:color="auto" w:sz="4" w:space="0"/>
              <w:right w:val="single" w:color="auto" w:sz="4" w:space="0"/>
            </w:tcBorders>
            <w:noWrap/>
            <w:vAlign w:val="center"/>
          </w:tcPr>
          <w:p w14:paraId="08D63C6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市市场监督管理局</w:t>
            </w:r>
          </w:p>
        </w:tc>
        <w:tc>
          <w:tcPr>
            <w:tcW w:w="1214" w:type="dxa"/>
            <w:tcBorders>
              <w:top w:val="nil"/>
              <w:left w:val="nil"/>
              <w:bottom w:val="single" w:color="auto" w:sz="4" w:space="0"/>
              <w:right w:val="single" w:color="auto" w:sz="4" w:space="0"/>
            </w:tcBorders>
            <w:noWrap/>
            <w:vAlign w:val="center"/>
          </w:tcPr>
          <w:p w14:paraId="01A66B6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5819906</w:t>
            </w:r>
          </w:p>
        </w:tc>
      </w:tr>
      <w:tr w14:paraId="365984BB">
        <w:tblPrEx>
          <w:tblCellMar>
            <w:top w:w="0" w:type="dxa"/>
            <w:left w:w="108" w:type="dxa"/>
            <w:bottom w:w="0" w:type="dxa"/>
            <w:right w:w="108" w:type="dxa"/>
          </w:tblCellMar>
        </w:tblPrEx>
        <w:trPr>
          <w:trHeight w:val="417" w:hRule="atLeast"/>
        </w:trPr>
        <w:tc>
          <w:tcPr>
            <w:tcW w:w="690" w:type="dxa"/>
            <w:tcBorders>
              <w:top w:val="nil"/>
              <w:left w:val="single" w:color="auto" w:sz="4" w:space="0"/>
              <w:bottom w:val="single" w:color="auto" w:sz="4" w:space="0"/>
              <w:right w:val="single" w:color="auto" w:sz="4" w:space="0"/>
            </w:tcBorders>
            <w:noWrap/>
            <w:vAlign w:val="center"/>
          </w:tcPr>
          <w:p w14:paraId="2DC3C49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highlight w:val="yellow"/>
                <w:lang w:val="en-US" w:eastAsia="zh-CN"/>
              </w:rPr>
            </w:pPr>
            <w:r>
              <w:rPr>
                <w:rFonts w:hint="eastAsia" w:ascii="仿宋_GB2312" w:hAnsi="仿宋_GB2312" w:eastAsia="仿宋_GB2312" w:cs="仿宋_GB2312"/>
                <w:color w:val="auto"/>
                <w:kern w:val="0"/>
                <w:sz w:val="21"/>
                <w:szCs w:val="21"/>
                <w:highlight w:val="none"/>
                <w:lang w:val="en-US" w:eastAsia="zh-CN"/>
              </w:rPr>
              <w:t>5</w:t>
            </w:r>
          </w:p>
        </w:tc>
        <w:tc>
          <w:tcPr>
            <w:tcW w:w="4536" w:type="dxa"/>
            <w:tcBorders>
              <w:top w:val="nil"/>
              <w:left w:val="nil"/>
              <w:bottom w:val="single" w:color="auto" w:sz="4" w:space="0"/>
              <w:right w:val="single" w:color="auto" w:sz="4" w:space="0"/>
            </w:tcBorders>
            <w:noWrap/>
            <w:vAlign w:val="center"/>
          </w:tcPr>
          <w:p w14:paraId="2C90B2D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滕州市图书资料专业职务资格初级评审委员会</w:t>
            </w:r>
          </w:p>
        </w:tc>
        <w:tc>
          <w:tcPr>
            <w:tcW w:w="2730" w:type="dxa"/>
            <w:vMerge w:val="restart"/>
            <w:tcBorders>
              <w:top w:val="nil"/>
              <w:left w:val="single" w:color="auto" w:sz="4" w:space="0"/>
              <w:right w:val="single" w:color="auto" w:sz="4" w:space="0"/>
            </w:tcBorders>
            <w:noWrap/>
            <w:vAlign w:val="center"/>
          </w:tcPr>
          <w:p w14:paraId="5855F12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市文化和旅游局</w:t>
            </w:r>
          </w:p>
        </w:tc>
        <w:tc>
          <w:tcPr>
            <w:tcW w:w="1214" w:type="dxa"/>
            <w:vMerge w:val="restart"/>
            <w:tcBorders>
              <w:top w:val="nil"/>
              <w:left w:val="single" w:color="auto" w:sz="4" w:space="0"/>
              <w:right w:val="single" w:color="auto" w:sz="4" w:space="0"/>
            </w:tcBorders>
            <w:noWrap/>
            <w:vAlign w:val="center"/>
          </w:tcPr>
          <w:p w14:paraId="7B11239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5514925</w:t>
            </w:r>
          </w:p>
        </w:tc>
      </w:tr>
      <w:tr w14:paraId="2805EEDD">
        <w:tblPrEx>
          <w:tblCellMar>
            <w:top w:w="0" w:type="dxa"/>
            <w:left w:w="108" w:type="dxa"/>
            <w:bottom w:w="0" w:type="dxa"/>
            <w:right w:w="108" w:type="dxa"/>
          </w:tblCellMar>
        </w:tblPrEx>
        <w:trPr>
          <w:trHeight w:val="417"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75329F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6</w:t>
            </w:r>
          </w:p>
        </w:tc>
        <w:tc>
          <w:tcPr>
            <w:tcW w:w="4536" w:type="dxa"/>
            <w:tcBorders>
              <w:top w:val="single" w:color="auto" w:sz="4" w:space="0"/>
              <w:left w:val="nil"/>
              <w:bottom w:val="single" w:color="auto" w:sz="4" w:space="0"/>
              <w:right w:val="single" w:color="auto" w:sz="4" w:space="0"/>
            </w:tcBorders>
            <w:noWrap/>
            <w:vAlign w:val="center"/>
          </w:tcPr>
          <w:p w14:paraId="0BC3041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滕州市文物博物专业职务资格初级评审委员会</w:t>
            </w:r>
          </w:p>
        </w:tc>
        <w:tc>
          <w:tcPr>
            <w:tcW w:w="2730" w:type="dxa"/>
            <w:vMerge w:val="continue"/>
            <w:tcBorders>
              <w:left w:val="single" w:color="auto" w:sz="4" w:space="0"/>
              <w:right w:val="single" w:color="auto" w:sz="4" w:space="0"/>
            </w:tcBorders>
            <w:noWrap/>
            <w:vAlign w:val="center"/>
          </w:tcPr>
          <w:p w14:paraId="5C2C07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c>
          <w:tcPr>
            <w:tcW w:w="1214" w:type="dxa"/>
            <w:vMerge w:val="continue"/>
            <w:tcBorders>
              <w:left w:val="single" w:color="auto" w:sz="4" w:space="0"/>
              <w:right w:val="single" w:color="auto" w:sz="4" w:space="0"/>
            </w:tcBorders>
            <w:noWrap/>
            <w:vAlign w:val="center"/>
          </w:tcPr>
          <w:p w14:paraId="4B43FA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r>
      <w:tr w14:paraId="623EB65E">
        <w:tblPrEx>
          <w:tblCellMar>
            <w:top w:w="0" w:type="dxa"/>
            <w:left w:w="108" w:type="dxa"/>
            <w:bottom w:w="0" w:type="dxa"/>
            <w:right w:w="108" w:type="dxa"/>
          </w:tblCellMar>
        </w:tblPrEx>
        <w:trPr>
          <w:trHeight w:val="417"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51FA32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7</w:t>
            </w:r>
          </w:p>
        </w:tc>
        <w:tc>
          <w:tcPr>
            <w:tcW w:w="4536" w:type="dxa"/>
            <w:tcBorders>
              <w:top w:val="single" w:color="auto" w:sz="4" w:space="0"/>
              <w:left w:val="nil"/>
              <w:bottom w:val="single" w:color="auto" w:sz="4" w:space="0"/>
              <w:right w:val="single" w:color="auto" w:sz="4" w:space="0"/>
            </w:tcBorders>
            <w:noWrap/>
            <w:vAlign w:val="center"/>
          </w:tcPr>
          <w:p w14:paraId="57F1B88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滕州市群众文化专业职务资格初级评审委员会</w:t>
            </w:r>
          </w:p>
        </w:tc>
        <w:tc>
          <w:tcPr>
            <w:tcW w:w="2730" w:type="dxa"/>
            <w:vMerge w:val="continue"/>
            <w:tcBorders>
              <w:left w:val="single" w:color="auto" w:sz="4" w:space="0"/>
              <w:right w:val="single" w:color="auto" w:sz="4" w:space="0"/>
            </w:tcBorders>
            <w:noWrap/>
            <w:vAlign w:val="center"/>
          </w:tcPr>
          <w:p w14:paraId="68C2846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c>
          <w:tcPr>
            <w:tcW w:w="1214" w:type="dxa"/>
            <w:vMerge w:val="continue"/>
            <w:tcBorders>
              <w:left w:val="single" w:color="auto" w:sz="4" w:space="0"/>
              <w:right w:val="single" w:color="auto" w:sz="4" w:space="0"/>
            </w:tcBorders>
            <w:noWrap/>
            <w:vAlign w:val="center"/>
          </w:tcPr>
          <w:p w14:paraId="1BB4C4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r>
      <w:tr w14:paraId="5CDBA0E0">
        <w:tblPrEx>
          <w:tblCellMar>
            <w:top w:w="0" w:type="dxa"/>
            <w:left w:w="108" w:type="dxa"/>
            <w:bottom w:w="0" w:type="dxa"/>
            <w:right w:w="108" w:type="dxa"/>
          </w:tblCellMar>
        </w:tblPrEx>
        <w:trPr>
          <w:trHeight w:val="417"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57F2CFF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8</w:t>
            </w:r>
          </w:p>
        </w:tc>
        <w:tc>
          <w:tcPr>
            <w:tcW w:w="4536" w:type="dxa"/>
            <w:tcBorders>
              <w:top w:val="single" w:color="auto" w:sz="4" w:space="0"/>
              <w:left w:val="nil"/>
              <w:bottom w:val="single" w:color="auto" w:sz="4" w:space="0"/>
              <w:right w:val="single" w:color="auto" w:sz="4" w:space="0"/>
            </w:tcBorders>
            <w:noWrap/>
            <w:vAlign w:val="center"/>
          </w:tcPr>
          <w:p w14:paraId="65B08D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滕州市艺术专业职务资格初级评审委员会</w:t>
            </w:r>
          </w:p>
        </w:tc>
        <w:tc>
          <w:tcPr>
            <w:tcW w:w="2730" w:type="dxa"/>
            <w:vMerge w:val="continue"/>
            <w:tcBorders>
              <w:left w:val="single" w:color="auto" w:sz="4" w:space="0"/>
              <w:bottom w:val="single" w:color="auto" w:sz="4" w:space="0"/>
              <w:right w:val="single" w:color="auto" w:sz="4" w:space="0"/>
            </w:tcBorders>
            <w:noWrap/>
            <w:vAlign w:val="center"/>
          </w:tcPr>
          <w:p w14:paraId="7903B2E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c>
          <w:tcPr>
            <w:tcW w:w="1214" w:type="dxa"/>
            <w:vMerge w:val="continue"/>
            <w:tcBorders>
              <w:left w:val="single" w:color="auto" w:sz="4" w:space="0"/>
              <w:bottom w:val="single" w:color="auto" w:sz="4" w:space="0"/>
              <w:right w:val="single" w:color="auto" w:sz="4" w:space="0"/>
            </w:tcBorders>
            <w:noWrap/>
            <w:vAlign w:val="center"/>
          </w:tcPr>
          <w:p w14:paraId="7C143C1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r>
      <w:tr w14:paraId="1A10060E">
        <w:tblPrEx>
          <w:tblCellMar>
            <w:top w:w="0" w:type="dxa"/>
            <w:left w:w="108" w:type="dxa"/>
            <w:bottom w:w="0" w:type="dxa"/>
            <w:right w:w="108" w:type="dxa"/>
          </w:tblCellMar>
        </w:tblPrEx>
        <w:trPr>
          <w:trHeight w:val="417"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11A1790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9</w:t>
            </w:r>
          </w:p>
        </w:tc>
        <w:tc>
          <w:tcPr>
            <w:tcW w:w="4536" w:type="dxa"/>
            <w:tcBorders>
              <w:top w:val="single" w:color="auto" w:sz="4" w:space="0"/>
              <w:left w:val="single" w:color="auto" w:sz="4" w:space="0"/>
              <w:bottom w:val="single" w:color="auto" w:sz="4" w:space="0"/>
              <w:right w:val="single" w:color="auto" w:sz="4" w:space="0"/>
            </w:tcBorders>
            <w:noWrap/>
            <w:vAlign w:val="center"/>
          </w:tcPr>
          <w:p w14:paraId="710B798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滕州市中等职业学校教师职务初级评审委员会</w:t>
            </w:r>
          </w:p>
        </w:tc>
        <w:tc>
          <w:tcPr>
            <w:tcW w:w="2730" w:type="dxa"/>
            <w:tcBorders>
              <w:top w:val="single" w:color="auto" w:sz="4" w:space="0"/>
              <w:left w:val="single" w:color="auto" w:sz="4" w:space="0"/>
              <w:bottom w:val="single" w:color="auto" w:sz="4" w:space="0"/>
              <w:right w:val="single" w:color="auto" w:sz="4" w:space="0"/>
            </w:tcBorders>
            <w:noWrap/>
            <w:vAlign w:val="center"/>
          </w:tcPr>
          <w:p w14:paraId="2B96BD9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市教育和体育局</w:t>
            </w:r>
          </w:p>
        </w:tc>
        <w:tc>
          <w:tcPr>
            <w:tcW w:w="1214" w:type="dxa"/>
            <w:tcBorders>
              <w:top w:val="single" w:color="auto" w:sz="4" w:space="0"/>
              <w:left w:val="single" w:color="auto" w:sz="4" w:space="0"/>
              <w:bottom w:val="single" w:color="auto" w:sz="4" w:space="0"/>
              <w:right w:val="single" w:color="auto" w:sz="4" w:space="0"/>
            </w:tcBorders>
            <w:noWrap/>
            <w:vAlign w:val="center"/>
          </w:tcPr>
          <w:p w14:paraId="0614B97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55</w:t>
            </w:r>
            <w:r>
              <w:rPr>
                <w:rFonts w:hint="eastAsia" w:ascii="仿宋_GB2312" w:hAnsi="仿宋_GB2312" w:eastAsia="仿宋_GB2312" w:cs="仿宋_GB2312"/>
                <w:color w:val="auto"/>
                <w:kern w:val="0"/>
                <w:sz w:val="21"/>
                <w:szCs w:val="21"/>
                <w:lang w:val="en-US" w:eastAsia="zh-CN"/>
              </w:rPr>
              <w:t>03519</w:t>
            </w:r>
          </w:p>
        </w:tc>
      </w:tr>
      <w:tr w14:paraId="473D2AE8">
        <w:tblPrEx>
          <w:tblCellMar>
            <w:top w:w="0" w:type="dxa"/>
            <w:left w:w="108" w:type="dxa"/>
            <w:bottom w:w="0" w:type="dxa"/>
            <w:right w:w="108" w:type="dxa"/>
          </w:tblCellMar>
        </w:tblPrEx>
        <w:trPr>
          <w:trHeight w:val="417"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4ECCC05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10</w:t>
            </w:r>
          </w:p>
        </w:tc>
        <w:tc>
          <w:tcPr>
            <w:tcW w:w="4536" w:type="dxa"/>
            <w:tcBorders>
              <w:top w:val="single" w:color="auto" w:sz="4" w:space="0"/>
              <w:left w:val="nil"/>
              <w:bottom w:val="single" w:color="auto" w:sz="4" w:space="0"/>
              <w:right w:val="single" w:color="auto" w:sz="4" w:space="0"/>
            </w:tcBorders>
            <w:noWrap/>
            <w:vAlign w:val="center"/>
          </w:tcPr>
          <w:p w14:paraId="0245BD1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滕州市新闻专业职务初级评审委员会</w:t>
            </w:r>
          </w:p>
        </w:tc>
        <w:tc>
          <w:tcPr>
            <w:tcW w:w="2730" w:type="dxa"/>
            <w:vMerge w:val="restart"/>
            <w:tcBorders>
              <w:top w:val="single" w:color="auto" w:sz="4" w:space="0"/>
              <w:left w:val="nil"/>
              <w:right w:val="single" w:color="auto" w:sz="4" w:space="0"/>
            </w:tcBorders>
            <w:noWrap/>
            <w:vAlign w:val="center"/>
          </w:tcPr>
          <w:p w14:paraId="52F6B72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市融媒体中心</w:t>
            </w:r>
          </w:p>
        </w:tc>
        <w:tc>
          <w:tcPr>
            <w:tcW w:w="1214" w:type="dxa"/>
            <w:vMerge w:val="restart"/>
            <w:tcBorders>
              <w:top w:val="single" w:color="auto" w:sz="4" w:space="0"/>
              <w:left w:val="nil"/>
              <w:right w:val="single" w:color="auto" w:sz="4" w:space="0"/>
            </w:tcBorders>
            <w:noWrap/>
            <w:vAlign w:val="center"/>
          </w:tcPr>
          <w:p w14:paraId="500BFB1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5</w:t>
            </w:r>
            <w:r>
              <w:rPr>
                <w:rFonts w:hint="eastAsia" w:ascii="仿宋_GB2312" w:hAnsi="仿宋_GB2312" w:eastAsia="仿宋_GB2312" w:cs="仿宋_GB2312"/>
                <w:color w:val="auto"/>
                <w:kern w:val="0"/>
                <w:sz w:val="21"/>
                <w:szCs w:val="21"/>
                <w:lang w:val="en-US" w:eastAsia="zh-CN"/>
              </w:rPr>
              <w:t>080505</w:t>
            </w:r>
          </w:p>
        </w:tc>
      </w:tr>
      <w:tr w14:paraId="0F65490B">
        <w:tblPrEx>
          <w:tblCellMar>
            <w:top w:w="0" w:type="dxa"/>
            <w:left w:w="108" w:type="dxa"/>
            <w:bottom w:w="0" w:type="dxa"/>
            <w:right w:w="108" w:type="dxa"/>
          </w:tblCellMar>
        </w:tblPrEx>
        <w:trPr>
          <w:trHeight w:val="417"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3E62243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11</w:t>
            </w:r>
          </w:p>
        </w:tc>
        <w:tc>
          <w:tcPr>
            <w:tcW w:w="4536" w:type="dxa"/>
            <w:tcBorders>
              <w:top w:val="single" w:color="auto" w:sz="4" w:space="0"/>
              <w:left w:val="nil"/>
              <w:bottom w:val="single" w:color="auto" w:sz="4" w:space="0"/>
              <w:right w:val="single" w:color="auto" w:sz="4" w:space="0"/>
            </w:tcBorders>
            <w:noWrap/>
            <w:vAlign w:val="center"/>
          </w:tcPr>
          <w:p w14:paraId="073627E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rPr>
              <w:t>滕州市播音专业职务初级评审委员会</w:t>
            </w:r>
          </w:p>
        </w:tc>
        <w:tc>
          <w:tcPr>
            <w:tcW w:w="2730" w:type="dxa"/>
            <w:vMerge w:val="continue"/>
            <w:tcBorders>
              <w:left w:val="nil"/>
              <w:bottom w:val="single" w:color="auto" w:sz="4" w:space="0"/>
              <w:right w:val="single" w:color="auto" w:sz="4" w:space="0"/>
            </w:tcBorders>
            <w:noWrap/>
            <w:vAlign w:val="center"/>
          </w:tcPr>
          <w:p w14:paraId="445293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c>
          <w:tcPr>
            <w:tcW w:w="1214" w:type="dxa"/>
            <w:vMerge w:val="continue"/>
            <w:tcBorders>
              <w:left w:val="nil"/>
              <w:bottom w:val="single" w:color="auto" w:sz="4" w:space="0"/>
              <w:right w:val="single" w:color="auto" w:sz="4" w:space="0"/>
            </w:tcBorders>
            <w:noWrap/>
            <w:vAlign w:val="center"/>
          </w:tcPr>
          <w:p w14:paraId="46DD8DA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rPr>
            </w:pPr>
          </w:p>
        </w:tc>
      </w:tr>
      <w:tr w14:paraId="387696F1">
        <w:tblPrEx>
          <w:tblCellMar>
            <w:top w:w="0" w:type="dxa"/>
            <w:left w:w="108" w:type="dxa"/>
            <w:bottom w:w="0" w:type="dxa"/>
            <w:right w:w="108" w:type="dxa"/>
          </w:tblCellMar>
        </w:tblPrEx>
        <w:trPr>
          <w:trHeight w:val="568"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13C6FE2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12</w:t>
            </w:r>
          </w:p>
        </w:tc>
        <w:tc>
          <w:tcPr>
            <w:tcW w:w="4536" w:type="dxa"/>
            <w:tcBorders>
              <w:top w:val="single" w:color="auto" w:sz="4" w:space="0"/>
              <w:left w:val="nil"/>
              <w:bottom w:val="single" w:color="auto" w:sz="4" w:space="0"/>
              <w:right w:val="single" w:color="auto" w:sz="4" w:space="0"/>
            </w:tcBorders>
            <w:noWrap/>
            <w:vAlign w:val="center"/>
          </w:tcPr>
          <w:p w14:paraId="62F46FE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sz w:val="21"/>
                <w:szCs w:val="21"/>
              </w:rPr>
              <w:t>滕州市技工学校教师初级职称评审委员会</w:t>
            </w:r>
          </w:p>
        </w:tc>
        <w:tc>
          <w:tcPr>
            <w:tcW w:w="2730" w:type="dxa"/>
            <w:tcBorders>
              <w:top w:val="single" w:color="auto" w:sz="4" w:space="0"/>
              <w:left w:val="single" w:color="auto" w:sz="4" w:space="0"/>
              <w:bottom w:val="single" w:color="auto" w:sz="4" w:space="0"/>
              <w:right w:val="single" w:color="auto" w:sz="4" w:space="0"/>
            </w:tcBorders>
            <w:noWrap/>
            <w:vAlign w:val="center"/>
          </w:tcPr>
          <w:p w14:paraId="682BAA5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枣庄工程技师学院</w:t>
            </w:r>
          </w:p>
        </w:tc>
        <w:tc>
          <w:tcPr>
            <w:tcW w:w="1214" w:type="dxa"/>
            <w:tcBorders>
              <w:top w:val="single" w:color="auto" w:sz="4" w:space="0"/>
              <w:left w:val="single" w:color="auto" w:sz="4" w:space="0"/>
              <w:bottom w:val="single" w:color="auto" w:sz="4" w:space="0"/>
              <w:right w:val="single" w:color="auto" w:sz="4" w:space="0"/>
            </w:tcBorders>
            <w:noWrap/>
            <w:vAlign w:val="center"/>
          </w:tcPr>
          <w:p w14:paraId="1E36D7A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5632717</w:t>
            </w:r>
          </w:p>
        </w:tc>
      </w:tr>
      <w:tr w14:paraId="6ACE4674">
        <w:tblPrEx>
          <w:tblCellMar>
            <w:top w:w="0" w:type="dxa"/>
            <w:left w:w="108" w:type="dxa"/>
            <w:bottom w:w="0" w:type="dxa"/>
            <w:right w:w="108" w:type="dxa"/>
          </w:tblCellMar>
        </w:tblPrEx>
        <w:trPr>
          <w:trHeight w:val="417" w:hRule="atLeast"/>
        </w:trPr>
        <w:tc>
          <w:tcPr>
            <w:tcW w:w="690" w:type="dxa"/>
            <w:tcBorders>
              <w:top w:val="single" w:color="auto" w:sz="4" w:space="0"/>
              <w:left w:val="single" w:color="auto" w:sz="4" w:space="0"/>
              <w:bottom w:val="single" w:color="auto" w:sz="4" w:space="0"/>
              <w:right w:val="single" w:color="auto" w:sz="4" w:space="0"/>
            </w:tcBorders>
            <w:noWrap/>
            <w:vAlign w:val="center"/>
          </w:tcPr>
          <w:p w14:paraId="0747761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13</w:t>
            </w:r>
          </w:p>
        </w:tc>
        <w:tc>
          <w:tcPr>
            <w:tcW w:w="4536" w:type="dxa"/>
            <w:tcBorders>
              <w:top w:val="single" w:color="auto" w:sz="4" w:space="0"/>
              <w:left w:val="nil"/>
              <w:bottom w:val="single" w:color="auto" w:sz="4" w:space="0"/>
              <w:right w:val="single" w:color="auto" w:sz="4" w:space="0"/>
            </w:tcBorders>
            <w:noWrap/>
            <w:vAlign w:val="center"/>
          </w:tcPr>
          <w:p w14:paraId="331A4A5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其他</w:t>
            </w:r>
          </w:p>
        </w:tc>
        <w:tc>
          <w:tcPr>
            <w:tcW w:w="2730" w:type="dxa"/>
            <w:tcBorders>
              <w:top w:val="single" w:color="auto" w:sz="4" w:space="0"/>
              <w:left w:val="single" w:color="auto" w:sz="4" w:space="0"/>
              <w:bottom w:val="single" w:color="auto" w:sz="4" w:space="0"/>
              <w:right w:val="single" w:color="auto" w:sz="4" w:space="0"/>
            </w:tcBorders>
            <w:noWrap/>
            <w:vAlign w:val="center"/>
          </w:tcPr>
          <w:p w14:paraId="793EE27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市人力资源和社会保障局</w:t>
            </w:r>
          </w:p>
        </w:tc>
        <w:tc>
          <w:tcPr>
            <w:tcW w:w="1214" w:type="dxa"/>
            <w:tcBorders>
              <w:top w:val="single" w:color="auto" w:sz="4" w:space="0"/>
              <w:left w:val="single" w:color="auto" w:sz="4" w:space="0"/>
              <w:bottom w:val="single" w:color="auto" w:sz="4" w:space="0"/>
              <w:right w:val="single" w:color="auto" w:sz="4" w:space="0"/>
            </w:tcBorders>
            <w:noWrap/>
            <w:vAlign w:val="center"/>
          </w:tcPr>
          <w:p w14:paraId="540B632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rPr>
              <w:t>5513165</w:t>
            </w:r>
          </w:p>
        </w:tc>
      </w:tr>
    </w:tbl>
    <w:p w14:paraId="1C82F403">
      <w:pPr>
        <w:keepNext w:val="0"/>
        <w:keepLines w:val="0"/>
        <w:pageBreakBefore w:val="0"/>
        <w:widowControl w:val="0"/>
        <w:kinsoku/>
        <w:wordWrap/>
        <w:overflowPunct w:val="0"/>
        <w:topLinePunct/>
        <w:autoSpaceDE/>
        <w:autoSpaceDN/>
        <w:bidi w:val="0"/>
        <w:adjustRightInd/>
        <w:snapToGrid/>
        <w:spacing w:line="600" w:lineRule="exact"/>
        <w:ind w:left="0" w:leftChars="0" w:firstLine="640" w:firstLineChars="200"/>
        <w:jc w:val="both"/>
        <w:textAlignment w:val="auto"/>
        <w:rPr>
          <w:rFonts w:hint="eastAsia" w:ascii="Times New Roman" w:hAnsi="Times New Roman" w:eastAsia="楷体_GB2312" w:cs="Times New Roman"/>
          <w:color w:val="auto"/>
          <w:sz w:val="32"/>
          <w:szCs w:val="32"/>
          <w:highlight w:val="none"/>
        </w:rPr>
      </w:pPr>
      <w:r>
        <w:rPr>
          <w:rFonts w:hint="eastAsia" w:ascii="Times New Roman" w:hAnsi="Times New Roman" w:eastAsia="楷体_GB2312" w:cs="Times New Roman"/>
          <w:color w:val="auto"/>
          <w:sz w:val="32"/>
          <w:szCs w:val="32"/>
          <w:highlight w:val="none"/>
        </w:rPr>
        <w:t>（四）初、中级定职申报材料</w:t>
      </w:r>
    </w:p>
    <w:p w14:paraId="5A1B28D2">
      <w:pPr>
        <w:keepNext w:val="0"/>
        <w:keepLines w:val="0"/>
        <w:pageBreakBefore w:val="0"/>
        <w:widowControl/>
        <w:kinsoku/>
        <w:wordWrap/>
        <w:overflowPunct/>
        <w:topLinePunct w:val="0"/>
        <w:autoSpaceDE/>
        <w:autoSpaceDN/>
        <w:bidi w:val="0"/>
        <w:adjustRightInd/>
        <w:snapToGrid/>
        <w:spacing w:after="0" w:line="240" w:lineRule="auto"/>
        <w:ind w:firstLine="645"/>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申报人员登录“山东省专业技术人员管理服务平台”</w:t>
      </w:r>
      <w:r>
        <w:rPr>
          <w:rFonts w:hint="eastAsia" w:ascii="仿宋_GB2312" w:hAnsi="仿宋_GB2312" w:eastAsia="仿宋_GB2312" w:cs="仿宋_GB2312"/>
          <w:color w:val="auto"/>
          <w:kern w:val="0"/>
          <w:sz w:val="32"/>
          <w:szCs w:val="32"/>
          <w:lang w:val="en-US" w:eastAsia="zh-CN"/>
        </w:rPr>
        <w:t>考核</w:t>
      </w:r>
      <w:r>
        <w:rPr>
          <w:rFonts w:hint="eastAsia" w:ascii="仿宋_GB2312" w:hAnsi="仿宋_GB2312" w:eastAsia="仿宋_GB2312" w:cs="仿宋_GB2312"/>
          <w:color w:val="auto"/>
          <w:kern w:val="0"/>
          <w:sz w:val="32"/>
          <w:szCs w:val="32"/>
        </w:rPr>
        <w:t xml:space="preserve">认定模块填报。  </w:t>
      </w:r>
    </w:p>
    <w:p w14:paraId="0CB4284F">
      <w:pPr>
        <w:keepNext w:val="0"/>
        <w:keepLines w:val="0"/>
        <w:pageBreakBefore w:val="0"/>
        <w:widowControl/>
        <w:kinsoku/>
        <w:wordWrap/>
        <w:overflowPunct/>
        <w:topLinePunct w:val="0"/>
        <w:autoSpaceDE/>
        <w:autoSpaceDN/>
        <w:bidi w:val="0"/>
        <w:adjustRightInd/>
        <w:snapToGrid/>
        <w:spacing w:after="0" w:line="240" w:lineRule="auto"/>
        <w:ind w:firstLine="645"/>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highlight w:val="none"/>
          <w:lang w:val="en-US" w:eastAsia="zh-CN"/>
        </w:rPr>
        <w:t>申报时间</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sz w:val="32"/>
          <w:szCs w:val="32"/>
          <w:highlight w:val="none"/>
          <w:lang w:val="en-US" w:eastAsia="zh-CN"/>
        </w:rPr>
        <w:t>月19日-10月12日</w:t>
      </w:r>
    </w:p>
    <w:p w14:paraId="6104767F">
      <w:pPr>
        <w:keepNext w:val="0"/>
        <w:keepLines w:val="0"/>
        <w:pageBreakBefore w:val="0"/>
        <w:widowControl w:val="0"/>
        <w:kinsoku/>
        <w:wordWrap/>
        <w:overflowPunct w:val="0"/>
        <w:topLinePunct/>
        <w:autoSpaceDE/>
        <w:autoSpaceDN/>
        <w:bidi w:val="0"/>
        <w:adjustRightInd/>
        <w:snapToGrid/>
        <w:spacing w:beforeAutospacing="0" w:afterAutospacing="0" w:line="240" w:lineRule="auto"/>
        <w:ind w:left="638" w:leftChars="304" w:firstLine="0" w:firstLineChars="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rPr>
        <w:t>报送</w:t>
      </w:r>
      <w:r>
        <w:rPr>
          <w:rFonts w:hint="eastAsia" w:ascii="仿宋_GB2312" w:hAnsi="仿宋_GB2312" w:eastAsia="仿宋_GB2312" w:cs="仿宋_GB2312"/>
          <w:color w:val="auto"/>
          <w:kern w:val="0"/>
          <w:sz w:val="32"/>
          <w:szCs w:val="32"/>
          <w:lang w:val="en-US" w:eastAsia="zh-CN"/>
        </w:rPr>
        <w:t>地址</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sz w:val="32"/>
          <w:szCs w:val="32"/>
          <w:highlight w:val="none"/>
          <w:lang w:val="en-US" w:eastAsia="zh-CN"/>
        </w:rPr>
        <w:t>滕州市北辛中路1699号（市人社局A331室）</w:t>
      </w:r>
    </w:p>
    <w:p w14:paraId="25AC668D">
      <w:pPr>
        <w:keepNext w:val="0"/>
        <w:keepLines w:val="0"/>
        <w:pageBreakBefore w:val="0"/>
        <w:widowControl/>
        <w:kinsoku/>
        <w:wordWrap/>
        <w:overflowPunct/>
        <w:topLinePunct w:val="0"/>
        <w:autoSpaceDE/>
        <w:autoSpaceDN/>
        <w:bidi w:val="0"/>
        <w:adjustRightInd/>
        <w:snapToGrid/>
        <w:spacing w:after="0" w:line="240" w:lineRule="auto"/>
        <w:ind w:firstLine="645"/>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联系电话：</w:t>
      </w:r>
      <w:r>
        <w:rPr>
          <w:rFonts w:hint="eastAsia" w:ascii="仿宋_GB2312" w:hAnsi="仿宋_GB2312" w:eastAsia="仿宋_GB2312" w:cs="仿宋_GB2312"/>
          <w:color w:val="auto"/>
          <w:sz w:val="32"/>
          <w:szCs w:val="32"/>
          <w:highlight w:val="none"/>
          <w:lang w:val="en-US" w:eastAsia="zh-CN"/>
        </w:rPr>
        <w:t>0632-5513165</w:t>
      </w:r>
    </w:p>
    <w:p w14:paraId="5E57840B">
      <w:pPr>
        <w:keepNext w:val="0"/>
        <w:keepLines w:val="0"/>
        <w:pageBreakBefore w:val="0"/>
        <w:widowControl w:val="0"/>
        <w:kinsoku/>
        <w:wordWrap/>
        <w:overflowPunct w:val="0"/>
        <w:topLinePunct/>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（五）根据市人社局《关于下放职称服务管理权限有关事项的通知》（滕人社发</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2019</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29号）要求，滕州经济</w:t>
      </w:r>
      <w:r>
        <w:rPr>
          <w:rFonts w:hint="eastAsia" w:ascii="仿宋_GB2312" w:hAnsi="仿宋_GB2312" w:eastAsia="仿宋_GB2312" w:cs="仿宋_GB2312"/>
          <w:color w:val="auto"/>
          <w:sz w:val="32"/>
          <w:szCs w:val="32"/>
          <w:highlight w:val="none"/>
          <w:lang w:val="en-US" w:eastAsia="zh-CN"/>
        </w:rPr>
        <w:t>技术</w:t>
      </w:r>
      <w:r>
        <w:rPr>
          <w:rFonts w:hint="eastAsia" w:ascii="仿宋_GB2312" w:hAnsi="仿宋_GB2312" w:eastAsia="仿宋_GB2312" w:cs="仿宋_GB2312"/>
          <w:color w:val="auto"/>
          <w:sz w:val="32"/>
          <w:szCs w:val="32"/>
          <w:highlight w:val="none"/>
        </w:rPr>
        <w:t>开发区管委会负责机械工程专业初、中级职称评审、定职和高级职称的审核申报工作。</w:t>
      </w:r>
    </w:p>
    <w:p w14:paraId="03F08F2B">
      <w:pPr>
        <w:keepNext w:val="0"/>
        <w:keepLines w:val="0"/>
        <w:pageBreakBefore w:val="0"/>
        <w:widowControl w:val="0"/>
        <w:kinsoku/>
        <w:wordWrap/>
        <w:overflowPunct w:val="0"/>
        <w:topLinePunct/>
        <w:autoSpaceDE/>
        <w:autoSpaceDN/>
        <w:bidi w:val="0"/>
        <w:adjustRightInd/>
        <w:snapToGrid/>
        <w:spacing w:beforeAutospacing="0" w:afterAutospacing="0" w:line="58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以上所有申报材料由单位统一报送，</w:t>
      </w:r>
      <w:r>
        <w:rPr>
          <w:rFonts w:hint="eastAsia" w:ascii="仿宋_GB2312" w:hAnsi="仿宋_GB2312" w:eastAsia="仿宋_GB2312" w:cs="仿宋_GB2312"/>
          <w:color w:val="auto"/>
          <w:sz w:val="32"/>
          <w:szCs w:val="32"/>
          <w:highlight w:val="none"/>
          <w:lang w:eastAsia="zh-CN"/>
        </w:rPr>
        <w:t>不接受个人报送材料。</w:t>
      </w:r>
      <w:r>
        <w:rPr>
          <w:rFonts w:hint="eastAsia" w:ascii="仿宋_GB2312" w:hAnsi="仿宋_GB2312" w:eastAsia="仿宋_GB2312" w:cs="仿宋_GB2312"/>
          <w:color w:val="auto"/>
          <w:sz w:val="32"/>
          <w:szCs w:val="32"/>
          <w:highlight w:val="none"/>
        </w:rPr>
        <w:t xml:space="preserve"> </w:t>
      </w:r>
    </w:p>
    <w:p w14:paraId="53E68033">
      <w:pPr>
        <w:pStyle w:val="9"/>
        <w:keepNext w:val="0"/>
        <w:keepLines w:val="0"/>
        <w:pageBreakBefore w:val="0"/>
        <w:widowControl w:val="0"/>
        <w:numPr>
          <w:ilvl w:val="0"/>
          <w:numId w:val="0"/>
        </w:numPr>
        <w:kinsoku/>
        <w:wordWrap/>
        <w:overflowPunct w:val="0"/>
        <w:topLinePunct/>
        <w:autoSpaceDE w:val="0"/>
        <w:autoSpaceDN/>
        <w:bidi w:val="0"/>
        <w:adjustRightInd/>
        <w:snapToGrid/>
        <w:spacing w:before="0" w:beforeAutospacing="0" w:after="0" w:afterAutospacing="0" w:line="580" w:lineRule="exact"/>
        <w:ind w:leftChars="200"/>
        <w:jc w:val="both"/>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lang w:eastAsia="zh-CN"/>
        </w:rPr>
        <w:t>二、</w:t>
      </w:r>
      <w:r>
        <w:rPr>
          <w:rFonts w:hint="default" w:ascii="Times New Roman" w:hAnsi="Times New Roman" w:eastAsia="黑体" w:cs="Times New Roman"/>
          <w:color w:val="auto"/>
          <w:sz w:val="32"/>
          <w:szCs w:val="32"/>
          <w:highlight w:val="none"/>
        </w:rPr>
        <w:t>申报范围和条件</w:t>
      </w:r>
    </w:p>
    <w:p w14:paraId="65D21F49">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（一）申报范围</w:t>
      </w:r>
    </w:p>
    <w:p w14:paraId="15B8FC9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凡在我市各类企事业单位（参照公务员法管理的事业单位除外）、社会团体、个体经济组织等用人单位从事专业技术工作，与用人单位确定了人员劳动（聘用）关系的专业技术人才以及从事专业技术工作的自由职业者，均可按规定的标准条件申报评审相应的职称。非公有制经济组织的</w:t>
      </w:r>
      <w:r>
        <w:rPr>
          <w:rFonts w:hint="eastAsia" w:ascii="Times New Roman" w:hAnsi="Times New Roman" w:eastAsia="仿宋_GB2312" w:cs="Times New Roman"/>
          <w:color w:val="auto"/>
          <w:sz w:val="32"/>
          <w:szCs w:val="32"/>
          <w:highlight w:val="none"/>
          <w:lang w:eastAsia="zh-CN"/>
        </w:rPr>
        <w:t>专业技术人才</w:t>
      </w:r>
      <w:r>
        <w:rPr>
          <w:rFonts w:hint="default" w:ascii="Times New Roman" w:hAnsi="Times New Roman" w:eastAsia="仿宋_GB2312" w:cs="Times New Roman"/>
          <w:color w:val="auto"/>
          <w:sz w:val="32"/>
          <w:szCs w:val="32"/>
          <w:highlight w:val="none"/>
        </w:rPr>
        <w:t>按照属地管理原则</w:t>
      </w:r>
      <w:r>
        <w:rPr>
          <w:rFonts w:hint="eastAsia" w:ascii="Times New Roman" w:hAnsi="Times New Roman" w:eastAsia="仿宋_GB2312" w:cs="Times New Roman"/>
          <w:color w:val="auto"/>
          <w:sz w:val="32"/>
          <w:szCs w:val="32"/>
          <w:highlight w:val="none"/>
          <w:lang w:eastAsia="zh-CN"/>
        </w:rPr>
        <w:t>通过所属同级</w:t>
      </w:r>
      <w:r>
        <w:rPr>
          <w:rFonts w:hint="default" w:ascii="Times New Roman" w:hAnsi="Times New Roman" w:eastAsia="仿宋_GB2312" w:cs="Times New Roman"/>
          <w:color w:val="auto"/>
          <w:sz w:val="32"/>
          <w:szCs w:val="32"/>
          <w:highlight w:val="none"/>
          <w:lang w:eastAsia="zh-CN"/>
        </w:rPr>
        <w:t>人力资源社会保障部门</w:t>
      </w:r>
      <w:r>
        <w:rPr>
          <w:rFonts w:hint="eastAsia" w:ascii="Times New Roman" w:hAnsi="Times New Roman" w:eastAsia="仿宋_GB2312" w:cs="Times New Roman"/>
          <w:color w:val="auto"/>
          <w:sz w:val="32"/>
          <w:szCs w:val="32"/>
          <w:highlight w:val="none"/>
          <w:lang w:eastAsia="zh-CN"/>
        </w:rPr>
        <w:t>申报</w:t>
      </w:r>
      <w:r>
        <w:rPr>
          <w:rFonts w:hint="default" w:ascii="Times New Roman" w:hAnsi="Times New Roman" w:eastAsia="仿宋_GB2312" w:cs="Times New Roman"/>
          <w:color w:val="auto"/>
          <w:sz w:val="32"/>
          <w:szCs w:val="32"/>
          <w:highlight w:val="none"/>
          <w:lang w:eastAsia="zh-CN"/>
        </w:rPr>
        <w:t>。自由职业者可以由人事代理机构或者所在社区、乡镇（街道）人力资源社会保障服务机构履行审核、公示、上报等程序。</w:t>
      </w:r>
      <w:r>
        <w:rPr>
          <w:rFonts w:hint="default" w:ascii="Times New Roman" w:hAnsi="Times New Roman" w:eastAsia="仿宋_GB2312" w:cs="Times New Roman"/>
          <w:color w:val="auto"/>
          <w:sz w:val="32"/>
          <w:szCs w:val="32"/>
          <w:highlight w:val="none"/>
        </w:rPr>
        <w:t>公务员</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参照公务员法管理的人员</w:t>
      </w:r>
      <w:r>
        <w:rPr>
          <w:rFonts w:hint="default" w:ascii="Times New Roman" w:hAnsi="Times New Roman" w:eastAsia="仿宋_GB2312" w:cs="Times New Roman"/>
          <w:color w:val="auto"/>
          <w:sz w:val="32"/>
          <w:szCs w:val="32"/>
          <w:highlight w:val="none"/>
        </w:rPr>
        <w:t>、离退休人员不得参加</w:t>
      </w:r>
      <w:r>
        <w:rPr>
          <w:rFonts w:hint="default" w:ascii="Times New Roman" w:hAnsi="Times New Roman" w:eastAsia="仿宋_GB2312" w:cs="Times New Roman"/>
          <w:color w:val="000000"/>
          <w:sz w:val="32"/>
          <w:szCs w:val="32"/>
          <w:highlight w:val="none"/>
        </w:rPr>
        <w:t>职称评审。</w:t>
      </w:r>
    </w:p>
    <w:p w14:paraId="3D8AAB2A">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单位专业技术人员申报评审专业技术职务资格，应与所在专业技术岗位要求的专业技术职务资格系列（专业）相一致，本单位未设置相应专业技术岗位的，不得推荐评审相应系列（专业）的专业技术职务资格。</w:t>
      </w:r>
    </w:p>
    <w:p w14:paraId="21C36EC2">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在我市就业的港澳台专业技术人才，以及持有外国人永久居留证或海外高层次人才居住证的外籍人员，参加我市职称申报评审须符合相应职称系列（专业）的标准条件，可以不受原职称资格限制。</w:t>
      </w:r>
    </w:p>
    <w:p w14:paraId="3E06280D">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非企事业单位（含参公管理单位）的人员交流聘用到企事业单位专业技术岗位上工作，在现工作岗位从事专业技术工作一年以上，经考核符合相应职称条件的，可申报评审相应的职称。</w:t>
      </w:r>
    </w:p>
    <w:p w14:paraId="6DC4715A">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高层次人才、高技能人才、基层人才、援疆援藏援青人才、东西协作援派人才、取得专业技术类职业资格人才、专精特新中小企业和制造业单项冠军企业工程技术人才、事业单位创新创业科研人员等有特殊政策的，按相关政策规定执行。部分职称评审相关政策见附件1。</w:t>
      </w:r>
    </w:p>
    <w:p w14:paraId="6BAD1571">
      <w:pPr>
        <w:pStyle w:val="9"/>
        <w:keepNext w:val="0"/>
        <w:keepLines w:val="0"/>
        <w:pageBreakBefore w:val="0"/>
        <w:widowControl w:val="0"/>
        <w:kinsoku/>
        <w:wordWrap/>
        <w:overflowPunct w:val="0"/>
        <w:topLinePunct/>
        <w:autoSpaceDE w:val="0"/>
        <w:autoSpaceDN/>
        <w:bidi w:val="0"/>
        <w:adjustRightInd/>
        <w:snapToGrid/>
        <w:spacing w:before="0" w:beforeAutospacing="0" w:after="0" w:afterAutospacing="0" w:line="580" w:lineRule="exact"/>
        <w:ind w:left="0" w:leftChars="0" w:firstLine="640" w:firstLineChars="200"/>
        <w:jc w:val="both"/>
        <w:textAlignment w:val="auto"/>
        <w:outlineLvl w:val="9"/>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（二）申报评审</w:t>
      </w:r>
      <w:r>
        <w:rPr>
          <w:rFonts w:hint="default" w:ascii="Times New Roman" w:hAnsi="Times New Roman" w:eastAsia="楷体_GB2312" w:cs="Times New Roman"/>
          <w:color w:val="auto"/>
          <w:sz w:val="32"/>
          <w:szCs w:val="32"/>
          <w:highlight w:val="none"/>
          <w:lang w:eastAsia="zh-CN"/>
        </w:rPr>
        <w:t>政策</w:t>
      </w:r>
      <w:r>
        <w:rPr>
          <w:rFonts w:hint="default" w:ascii="Times New Roman" w:hAnsi="Times New Roman" w:eastAsia="楷体_GB2312" w:cs="Times New Roman"/>
          <w:color w:val="auto"/>
          <w:sz w:val="32"/>
          <w:szCs w:val="32"/>
          <w:highlight w:val="none"/>
        </w:rPr>
        <w:t>条件</w:t>
      </w:r>
    </w:p>
    <w:p w14:paraId="40AC4F3D">
      <w:pPr>
        <w:pStyle w:val="9"/>
        <w:keepNext w:val="0"/>
        <w:keepLines w:val="0"/>
        <w:pageBreakBefore w:val="0"/>
        <w:widowControl w:val="0"/>
        <w:kinsoku/>
        <w:wordWrap/>
        <w:overflowPunct w:val="0"/>
        <w:topLinePunct w:val="0"/>
        <w:autoSpaceDE/>
        <w:autoSpaceDN/>
        <w:bidi w:val="0"/>
        <w:adjustRightInd/>
        <w:snapToGrid/>
        <w:spacing w:before="0" w:beforeAutospacing="0" w:after="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eastAsia="zh-CN"/>
        </w:rPr>
        <w:t>.专业技术人才申报职称评审，应按照《职称评审管理暂行规定》（人力资源和社会保障部令第</w:t>
      </w:r>
      <w:r>
        <w:rPr>
          <w:rFonts w:hint="default" w:ascii="Times New Roman" w:hAnsi="Times New Roman" w:eastAsia="仿宋_GB2312" w:cs="Times New Roman"/>
          <w:color w:val="auto"/>
          <w:sz w:val="32"/>
          <w:szCs w:val="32"/>
          <w:highlight w:val="none"/>
          <w:lang w:val="en-US" w:eastAsia="zh-CN"/>
        </w:rPr>
        <w:t>40号</w:t>
      </w:r>
      <w:r>
        <w:rPr>
          <w:rFonts w:hint="default" w:ascii="Times New Roman" w:hAnsi="Times New Roman" w:eastAsia="仿宋_GB2312" w:cs="Times New Roman"/>
          <w:color w:val="auto"/>
          <w:sz w:val="32"/>
          <w:szCs w:val="32"/>
          <w:highlight w:val="none"/>
          <w:lang w:eastAsia="zh-CN"/>
        </w:rPr>
        <w:t>）和《山东省职称评审管理服务实施办法》（鲁人社规〔</w:t>
      </w:r>
      <w:r>
        <w:rPr>
          <w:rFonts w:hint="default" w:ascii="Times New Roman" w:hAnsi="Times New Roman" w:eastAsia="仿宋_GB2312" w:cs="Times New Roman"/>
          <w:color w:val="auto"/>
          <w:sz w:val="32"/>
          <w:szCs w:val="32"/>
          <w:highlight w:val="none"/>
          <w:lang w:val="en-US" w:eastAsia="zh-CN"/>
        </w:rPr>
        <w:t>2021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1号</w:t>
      </w:r>
      <w:r>
        <w:rPr>
          <w:rFonts w:hint="default" w:ascii="Times New Roman" w:hAnsi="Times New Roman" w:eastAsia="仿宋_GB2312" w:cs="Times New Roman"/>
          <w:color w:val="auto"/>
          <w:sz w:val="32"/>
          <w:szCs w:val="32"/>
          <w:highlight w:val="none"/>
          <w:lang w:eastAsia="zh-CN"/>
        </w:rPr>
        <w:t>），以及我省现行的职称评价标准条件执行。相关政策文件和标准条件可在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服务平台</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查询。</w:t>
      </w:r>
    </w:p>
    <w:p w14:paraId="50919C68">
      <w:pPr>
        <w:pStyle w:val="9"/>
        <w:keepNext w:val="0"/>
        <w:keepLines w:val="0"/>
        <w:pageBreakBefore w:val="0"/>
        <w:widowControl w:val="0"/>
        <w:kinsoku/>
        <w:wordWrap/>
        <w:overflowPunct w:val="0"/>
        <w:topLinePunct w:val="0"/>
        <w:autoSpaceDE/>
        <w:autoSpaceDN/>
        <w:bidi w:val="0"/>
        <w:adjustRightInd/>
        <w:snapToGrid/>
        <w:spacing w:before="0" w:beforeAutospacing="0" w:after="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对于专业技术人员参加工作后取得的学历，不再限定年限要求。技工院校中级工班、高级工班、预备技师（技师）班毕业，可以分别按相当于中专、大专、本科学历申报评审相应专业职称。</w:t>
      </w:r>
      <w:r>
        <w:rPr>
          <w:rFonts w:hint="default" w:ascii="Times New Roman" w:hAnsi="Times New Roman" w:eastAsia="仿宋_GB2312" w:cs="Times New Roman"/>
          <w:color w:val="auto"/>
          <w:sz w:val="32"/>
          <w:szCs w:val="32"/>
          <w:highlight w:val="none"/>
          <w:lang w:val="en-US" w:eastAsia="zh-CN"/>
        </w:rPr>
        <w:t xml:space="preserve">   </w:t>
      </w:r>
    </w:p>
    <w:p w14:paraId="5DC4B5FD">
      <w:pPr>
        <w:pStyle w:val="9"/>
        <w:keepNext w:val="0"/>
        <w:keepLines w:val="0"/>
        <w:pageBreakBefore w:val="0"/>
        <w:widowControl w:val="0"/>
        <w:kinsoku/>
        <w:wordWrap/>
        <w:overflowPunct w:val="0"/>
        <w:topLinePunct w:val="0"/>
        <w:autoSpaceDE/>
        <w:autoSpaceDN/>
        <w:bidi w:val="0"/>
        <w:adjustRightInd/>
        <w:snapToGrid/>
        <w:spacing w:before="0" w:beforeAutospacing="0" w:after="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进一步加强高技能人才与专业技术人才职业发展贯通，实现贯通的</w:t>
      </w:r>
      <w:r>
        <w:rPr>
          <w:rFonts w:hint="default" w:ascii="Times New Roman" w:hAnsi="Times New Roman" w:eastAsia="仿宋_GB2312" w:cs="Times New Roman"/>
          <w:color w:val="auto"/>
          <w:sz w:val="32"/>
          <w:szCs w:val="32"/>
          <w:highlight w:val="none"/>
          <w:lang w:eastAsia="zh-CN"/>
        </w:rPr>
        <w:t>工程、农业、体育、工艺美术、文物博物、艺术、实验技术、技工院校教师等</w:t>
      </w:r>
      <w:r>
        <w:rPr>
          <w:rFonts w:hint="default" w:ascii="Times New Roman" w:hAnsi="Times New Roman" w:eastAsia="仿宋_GB2312" w:cs="Times New Roman"/>
          <w:color w:val="auto"/>
          <w:sz w:val="32"/>
          <w:szCs w:val="32"/>
          <w:highlight w:val="none"/>
        </w:rPr>
        <w:t>职称系列，符合条件的高技能人才可以参加相应系列职称评审，申报流程与专业技术人员一致</w:t>
      </w:r>
      <w:r>
        <w:rPr>
          <w:rFonts w:hint="default" w:ascii="Times New Roman" w:hAnsi="Times New Roman" w:eastAsia="仿宋_GB2312" w:cs="Times New Roman"/>
          <w:color w:val="auto"/>
          <w:sz w:val="32"/>
          <w:szCs w:val="32"/>
          <w:highlight w:val="none"/>
          <w:lang w:eastAsia="zh-CN"/>
        </w:rPr>
        <w:t>，申报方式</w:t>
      </w:r>
      <w:r>
        <w:rPr>
          <w:rFonts w:hint="default" w:ascii="Times New Roman" w:hAnsi="Times New Roman" w:eastAsia="仿宋_GB2312" w:cs="Times New Roman"/>
          <w:color w:val="auto"/>
          <w:sz w:val="32"/>
          <w:szCs w:val="32"/>
          <w:highlight w:val="none"/>
          <w:lang w:val="en-US" w:eastAsia="zh-CN"/>
        </w:rPr>
        <w:t>为</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高技能人才贯通</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w:t>
      </w:r>
    </w:p>
    <w:p w14:paraId="37D2A8FD">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eastAsia" w:ascii="Times New Roman" w:hAnsi="Times New Roman" w:eastAsia="仿宋_GB2312" w:cs="仿宋_GB2312"/>
          <w:color w:val="auto"/>
          <w:sz w:val="32"/>
          <w:szCs w:val="32"/>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对中、初级职称实行国家统一考试的经济、会计、统计、审计、卫生技术、船舶、翻译、出版等8个职称系列和我省统一</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以考代评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档案、快递工程、大数据工程、卫生管理研究、安全工程、物流工程、网络安全工程、饲料兽药工程等8个职称系列（专业），考试成绩合格即取得相应层级职称，不再进行相应层级职称评审或认定。对国家或我省统一实行高级职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考评结合</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w:t>
      </w:r>
      <w:r>
        <w:rPr>
          <w:rFonts w:hint="eastAsia" w:ascii="Times New Roman" w:hAnsi="Times New Roman" w:eastAsia="仿宋_GB2312" w:cs="仿宋_GB2312"/>
          <w:color w:val="auto"/>
          <w:sz w:val="32"/>
          <w:szCs w:val="32"/>
        </w:rPr>
        <w:t>会计、统计、审计、经济、档案、快递工程、大数据工程、卫生管理研究、物流工程、人力资源管理、卫生等11个系列（专业），专业技术人才须参加国家或我省统一组织的相关考试，成绩达到合格线并在有效期内方可申报评审高级职称。</w:t>
      </w:r>
    </w:p>
    <w:p w14:paraId="40EA6584">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改系列（专业）职称申报，应当在现专业技术岗位工作一年以上，经单位考核合格并符合申报系列（专业）的职称标准条件。申报的职称应当与原取得的职称同层级，申报的系列（专业）应当与现专业技术岗位相一致，当年度不得申报高一级职称。改系列前后从事专业技术工作的年限可以累计计算，相关的业绩成果可以作为申报高一级职称的依据。</w:t>
      </w:r>
    </w:p>
    <w:p w14:paraId="6F125B00">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.鼓励发展复合型人才。已取得一个系列（专业）职称并聘用在相应岗位上的专业技术人员，经所在单位批准，可结合从事工作再申报评审或报考其他系列（专业）同级别的职称，不受所在单位岗位限制。</w:t>
      </w:r>
    </w:p>
    <w:p w14:paraId="0C0B4545">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企业内具有突出技术创新能力、取得原创性科技成果以及作出重大贡献的优秀工程技术人才，经企业董事长（或研发团队技术带头人）署名举荐，可不受原职称资格、学历资历、工作年限、继续教育等条件限制，满足标准条件者，直接申报工程技术系列高级职称。国家级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企业，每年度最多可举荐2人直接申报高级职称（其中，申报正高级最多1人）；省级的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企业，每年度可举荐1人直接申报副高级职称。支持</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专精特新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中小企业和制造业单项冠军企业专业技术人才申报职称，将技术创新、专利发明、成果转化、技术推广、标准制定等方面获得的工作绩效、创新成果作为重要参考。</w:t>
      </w:r>
    </w:p>
    <w:p w14:paraId="23DB3C46">
      <w:pPr>
        <w:keepNext w:val="0"/>
        <w:keepLines w:val="0"/>
        <w:pageBreakBefore w:val="0"/>
        <w:widowControl w:val="0"/>
        <w:kinsoku/>
        <w:wordWrap/>
        <w:overflowPunct w:val="0"/>
        <w:topLinePunct w:val="0"/>
        <w:autoSpaceDE/>
        <w:autoSpaceDN/>
        <w:bidi w:val="0"/>
        <w:adjustRightInd w:val="0"/>
        <w:snapToGrid w:val="0"/>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snapToGrid w:val="0"/>
          <w:color w:val="auto"/>
          <w:kern w:val="0"/>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8.根据《关于转发&lt;山东省人力资源和社会保障厅等6部门关于做好基层职称证书换发工作的通知&gt;的通知》（枣人社字〔2024〕41号），</w:t>
      </w:r>
      <w:r>
        <w:rPr>
          <w:rFonts w:hint="default" w:ascii="Times New Roman" w:hAnsi="Times New Roman" w:eastAsia="仿宋_GB2312" w:cs="Times New Roman"/>
          <w:color w:val="auto"/>
          <w:sz w:val="32"/>
          <w:szCs w:val="32"/>
          <w:highlight w:val="none"/>
          <w:lang w:val="en-US" w:eastAsia="zh-CN"/>
        </w:rPr>
        <w:t>取得山东省基层职称证书</w:t>
      </w:r>
      <w:r>
        <w:rPr>
          <w:rFonts w:hint="eastAsia" w:ascii="Times New Roman" w:hAnsi="Times New Roman" w:eastAsia="仿宋_GB2312" w:cs="仿宋_GB2312"/>
          <w:b w:val="0"/>
          <w:bCs w:val="0"/>
          <w:snapToGrid w:val="0"/>
          <w:color w:val="auto"/>
          <w:kern w:val="0"/>
          <w:sz w:val="32"/>
          <w:szCs w:val="32"/>
          <w:highlight w:val="none"/>
          <w:lang w:val="en-US" w:eastAsia="zh-CN"/>
        </w:rPr>
        <w:t>后</w:t>
      </w:r>
      <w:r>
        <w:rPr>
          <w:rFonts w:hint="eastAsia" w:ascii="Times New Roman" w:hAnsi="Times New Roman" w:eastAsia="仿宋_GB2312" w:cs="仿宋_GB2312"/>
          <w:b w:val="0"/>
          <w:bCs w:val="0"/>
          <w:snapToGrid w:val="0"/>
          <w:color w:val="auto"/>
          <w:kern w:val="0"/>
          <w:sz w:val="32"/>
          <w:szCs w:val="32"/>
          <w:highlight w:val="none"/>
          <w:lang w:eastAsia="zh-CN"/>
        </w:rPr>
        <w:t>在基层单位</w:t>
      </w:r>
      <w:r>
        <w:rPr>
          <w:rFonts w:hint="eastAsia" w:ascii="Times New Roman" w:hAnsi="Times New Roman" w:eastAsia="仿宋_GB2312" w:cs="仿宋_GB2312"/>
          <w:b w:val="0"/>
          <w:bCs w:val="0"/>
          <w:snapToGrid w:val="0"/>
          <w:color w:val="auto"/>
          <w:kern w:val="0"/>
          <w:sz w:val="32"/>
          <w:szCs w:val="32"/>
          <w:highlight w:val="none"/>
          <w:lang w:val="en-US" w:eastAsia="zh-CN"/>
        </w:rPr>
        <w:t>专业技术岗位聘任</w:t>
      </w:r>
      <w:r>
        <w:rPr>
          <w:rFonts w:hint="eastAsia" w:ascii="Times New Roman" w:hAnsi="Times New Roman" w:eastAsia="仿宋_GB2312" w:cs="仿宋_GB2312"/>
          <w:b w:val="0"/>
          <w:bCs w:val="0"/>
          <w:snapToGrid w:val="0"/>
          <w:color w:val="auto"/>
          <w:kern w:val="0"/>
          <w:sz w:val="32"/>
          <w:szCs w:val="32"/>
          <w:highlight w:val="none"/>
          <w:lang w:eastAsia="zh-CN"/>
        </w:rPr>
        <w:t>满</w:t>
      </w:r>
      <w:r>
        <w:rPr>
          <w:rFonts w:hint="eastAsia" w:ascii="Times New Roman" w:hAnsi="Times New Roman" w:eastAsia="仿宋_GB2312" w:cs="仿宋_GB2312"/>
          <w:b w:val="0"/>
          <w:bCs w:val="0"/>
          <w:snapToGrid w:val="0"/>
          <w:color w:val="auto"/>
          <w:kern w:val="0"/>
          <w:sz w:val="32"/>
          <w:szCs w:val="32"/>
          <w:highlight w:val="none"/>
          <w:lang w:val="en-US" w:eastAsia="zh-CN"/>
        </w:rPr>
        <w:t>5年，</w:t>
      </w:r>
      <w:r>
        <w:rPr>
          <w:rFonts w:hint="eastAsia" w:ascii="Times New Roman" w:hAnsi="Times New Roman" w:eastAsia="仿宋_GB2312" w:cs="仿宋_GB2312"/>
          <w:b w:val="0"/>
          <w:bCs w:val="0"/>
          <w:snapToGrid w:val="0"/>
          <w:color w:val="auto"/>
          <w:kern w:val="0"/>
          <w:sz w:val="32"/>
          <w:szCs w:val="32"/>
          <w:highlight w:val="none"/>
          <w:lang w:eastAsia="zh-CN"/>
        </w:rPr>
        <w:t>符合我省相应</w:t>
      </w:r>
      <w:r>
        <w:rPr>
          <w:rFonts w:hint="eastAsia" w:ascii="Times New Roman" w:hAnsi="Times New Roman" w:eastAsia="仿宋_GB2312" w:cs="仿宋_GB2312"/>
          <w:b w:val="0"/>
          <w:bCs w:val="0"/>
          <w:snapToGrid w:val="0"/>
          <w:color w:val="auto"/>
          <w:kern w:val="0"/>
          <w:sz w:val="32"/>
          <w:szCs w:val="32"/>
          <w:highlight w:val="none"/>
          <w:lang w:val="en-US" w:eastAsia="zh-CN"/>
        </w:rPr>
        <w:t>统一</w:t>
      </w:r>
      <w:r>
        <w:rPr>
          <w:rFonts w:hint="eastAsia" w:ascii="Times New Roman" w:hAnsi="Times New Roman" w:eastAsia="仿宋_GB2312" w:cs="仿宋_GB2312"/>
          <w:b w:val="0"/>
          <w:bCs w:val="0"/>
          <w:snapToGrid w:val="0"/>
          <w:color w:val="auto"/>
          <w:kern w:val="0"/>
          <w:sz w:val="32"/>
          <w:szCs w:val="32"/>
          <w:highlight w:val="none"/>
          <w:lang w:eastAsia="zh-CN"/>
        </w:rPr>
        <w:t>职称的评价标准条件（专业技术人员参评基层职称时使用的业绩成果及取得基层职称后的业绩成果，均可作为申请换发的依据），</w:t>
      </w:r>
      <w:r>
        <w:rPr>
          <w:rFonts w:hint="default" w:ascii="Times New Roman" w:hAnsi="Times New Roman" w:eastAsia="仿宋_GB2312" w:cs="Times New Roman"/>
          <w:color w:val="auto"/>
          <w:sz w:val="32"/>
          <w:szCs w:val="32"/>
          <w:highlight w:val="none"/>
          <w:lang w:val="en-US" w:eastAsia="zh-CN"/>
        </w:rPr>
        <w:t>经相应职称评审委员会考核认定后，可换发同级别统一职称证书。</w:t>
      </w:r>
      <w:r>
        <w:rPr>
          <w:rFonts w:hint="eastAsia" w:ascii="Times New Roman" w:hAnsi="Times New Roman" w:eastAsia="仿宋_GB2312" w:cs="仿宋_GB2312"/>
          <w:b w:val="0"/>
          <w:bCs w:val="0"/>
          <w:snapToGrid w:val="0"/>
          <w:color w:val="auto"/>
          <w:kern w:val="0"/>
          <w:sz w:val="32"/>
          <w:szCs w:val="32"/>
          <w:highlight w:val="none"/>
          <w:lang w:eastAsia="zh-CN"/>
        </w:rPr>
        <w:t>基层职称证书换发</w:t>
      </w:r>
      <w:r>
        <w:rPr>
          <w:rFonts w:hint="eastAsia" w:ascii="Times New Roman" w:hAnsi="Times New Roman" w:eastAsia="仿宋_GB2312" w:cs="仿宋_GB2312"/>
          <w:b w:val="0"/>
          <w:bCs w:val="0"/>
          <w:snapToGrid w:val="0"/>
          <w:color w:val="auto"/>
          <w:kern w:val="0"/>
          <w:sz w:val="32"/>
          <w:szCs w:val="32"/>
          <w:highlight w:val="none"/>
          <w:lang w:val="en-US" w:eastAsia="zh-CN"/>
        </w:rPr>
        <w:t>通过“</w:t>
      </w:r>
      <w:r>
        <w:rPr>
          <w:rFonts w:hint="eastAsia" w:ascii="Times New Roman" w:hAnsi="Times New Roman" w:eastAsia="仿宋_GB2312" w:cs="仿宋_GB2312"/>
          <w:b w:val="0"/>
          <w:bCs w:val="0"/>
          <w:snapToGrid w:val="0"/>
          <w:color w:val="auto"/>
          <w:kern w:val="0"/>
          <w:sz w:val="32"/>
          <w:szCs w:val="32"/>
          <w:highlight w:val="none"/>
          <w:lang w:eastAsia="zh-CN"/>
        </w:rPr>
        <w:t>服务平台”</w:t>
      </w:r>
      <w:r>
        <w:rPr>
          <w:rFonts w:hint="eastAsia" w:ascii="Times New Roman" w:hAnsi="Times New Roman" w:eastAsia="仿宋_GB2312" w:cs="仿宋_GB2312"/>
          <w:b w:val="0"/>
          <w:bCs w:val="0"/>
          <w:snapToGrid w:val="0"/>
          <w:color w:val="auto"/>
          <w:kern w:val="0"/>
          <w:sz w:val="32"/>
          <w:szCs w:val="32"/>
          <w:highlight w:val="none"/>
          <w:lang w:val="en-US" w:eastAsia="zh-CN"/>
        </w:rPr>
        <w:t>实行</w:t>
      </w:r>
      <w:r>
        <w:rPr>
          <w:rFonts w:hint="eastAsia" w:ascii="Times New Roman" w:hAnsi="Times New Roman" w:eastAsia="仿宋_GB2312" w:cs="仿宋_GB2312"/>
          <w:b w:val="0"/>
          <w:bCs w:val="0"/>
          <w:snapToGrid w:val="0"/>
          <w:color w:val="auto"/>
          <w:kern w:val="0"/>
          <w:sz w:val="32"/>
          <w:szCs w:val="32"/>
          <w:highlight w:val="none"/>
          <w:lang w:eastAsia="zh-CN"/>
        </w:rPr>
        <w:t>全程网办。基层职称证书换发不收回原基层职称证书。新颁发的统一职称证书取得时间从职称评审委员会考核认定通过之日起算。专业技术人员申报高一级职称时，其基层职称证书换发前后从事专业技术工作的年限可以累计计算，相关的业绩成果可以作为申报职称的依据。申报基层职称证书换发人员，当年度不得参加其他职称评审。</w:t>
      </w:r>
    </w:p>
    <w:p w14:paraId="01C8B79F">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9.根据《关于建立企业专业技术人员工程师评审“直通车”制度的通知》（枣人社字〔2024〕26号），</w:t>
      </w:r>
      <w:r>
        <w:rPr>
          <w:rFonts w:hint="eastAsia" w:ascii="Times New Roman" w:hAnsi="Times New Roman" w:eastAsia="仿宋_GB2312" w:cs="仿宋_GB2312"/>
          <w:color w:val="auto"/>
          <w:sz w:val="32"/>
          <w:szCs w:val="32"/>
          <w:highlight w:val="none"/>
          <w:lang w:val="en-US" w:eastAsia="zh-CN"/>
        </w:rPr>
        <w:t>对于突破省级重点项目关键技术难题、有重要贡献的企业专业技术人才，经企业负责人举荐、主管部门同意，在满足条件的情况下，可不受原职称资格、年限资历限制，“直通车”申报工程师，参与重点项目取得的业绩贡献可作为职称申报评审的重要依据。当年度入选省级重点项目（以当年度山东省人民政府、山东省发展和改革委员会印发的省重大项目名单、省绿色低碳高质量发展重点项目名单为准）的建设企业最多可以举荐3人以“直通车”方式参加当年度工程系列中级职称评审。因省级重点项目存在建设周期，非当年获评省级重点项目，但仍在建设周期内且不超过3个年度的省级重点项目承建单位，可享受该政策。</w:t>
      </w:r>
    </w:p>
    <w:p w14:paraId="6455B1C0">
      <w:pPr>
        <w:pStyle w:val="3"/>
        <w:keepNext w:val="0"/>
        <w:keepLines w:val="0"/>
        <w:pageBreakBefore w:val="0"/>
        <w:widowControl w:val="0"/>
        <w:kinsoku/>
        <w:wordWrap/>
        <w:overflowPunct w:val="0"/>
        <w:topLinePunct w:val="0"/>
        <w:autoSpaceDE/>
        <w:autoSpaceDN/>
        <w:bidi w:val="0"/>
        <w:spacing w:line="580" w:lineRule="exact"/>
        <w:ind w:left="0" w:leftChars="0" w:firstLine="640" w:firstLineChars="200"/>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kern w:val="0"/>
          <w:sz w:val="32"/>
          <w:szCs w:val="32"/>
          <w:lang w:val="en-US" w:eastAsia="zh-CN" w:bidi="ar"/>
        </w:rPr>
        <w:t>10.纳入全市及时奖励项目、改革创新备案事项，工作成效显著，且在项目推动实施过程中承担直接责任（原则上为前5位）的企事业单位专业技术人才，可参照《关于发挥人才评价导向作用激励干部担当作为的若干措施（试行）》</w:t>
      </w:r>
      <w:r>
        <w:rPr>
          <w:rFonts w:hint="eastAsia" w:ascii="Times New Roman" w:hAnsi="Times New Roman" w:eastAsia="仿宋_GB2312" w:cs="仿宋_GB2312"/>
          <w:color w:val="auto"/>
          <w:sz w:val="32"/>
          <w:szCs w:val="32"/>
        </w:rPr>
        <w:t>相关政策规定执行。</w:t>
      </w:r>
    </w:p>
    <w:p w14:paraId="1D2CD216">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lang w:val="en-US" w:eastAsia="zh-CN"/>
        </w:rPr>
        <w:t>.按照县级以上党委、政府要求，经组织选派脱岗参加重大活动、重要任务的卫生专业技术人员，由党委、政府相关部门认可或出具证明后，其年度内累计派驻天数超过3个月的或连续两年内超过5个月的，可视同在县级以下或者对口支援的医疗卫生机构提供医疗卫生服务经历，选派期间专业工作量按照在岗工作水平的2倍统计，现职称聘期内可以累计计算。</w:t>
      </w:r>
    </w:p>
    <w:p w14:paraId="519C7E2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lang w:val="en-US" w:eastAsia="zh-CN"/>
        </w:rPr>
        <w:t>.高级会计师继续开展社会化评审，遵循</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个人自主申报、业内公正评价、单位择优使用、政府指导监督</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的社会化职称评价机制，评价结果仅作为会计人员学术技术水平和专业能力的主要标志，不与岗位和待遇挂钩。</w:t>
      </w:r>
    </w:p>
    <w:p w14:paraId="1C0E6243">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13</w:t>
      </w:r>
      <w:r>
        <w:rPr>
          <w:rFonts w:hint="default" w:ascii="Times New Roman" w:hAnsi="Times New Roman" w:eastAsia="仿宋_GB2312" w:cs="Times New Roman"/>
          <w:color w:val="auto"/>
          <w:sz w:val="32"/>
          <w:szCs w:val="32"/>
          <w:highlight w:val="none"/>
          <w:lang w:val="en-US" w:eastAsia="zh-CN"/>
        </w:rPr>
        <w:t>.按照专业技术人员继续教育相关规定，专业技术</w:t>
      </w:r>
      <w:r>
        <w:rPr>
          <w:rFonts w:hint="eastAsia" w:ascii="Times New Roman" w:hAnsi="Times New Roman" w:eastAsia="仿宋_GB2312" w:cs="Times New Roman"/>
          <w:color w:val="auto"/>
          <w:sz w:val="32"/>
          <w:szCs w:val="32"/>
          <w:highlight w:val="none"/>
          <w:lang w:val="en-US" w:eastAsia="zh-CN"/>
        </w:rPr>
        <w:t>人员</w:t>
      </w:r>
      <w:r>
        <w:rPr>
          <w:rFonts w:hint="default" w:ascii="Times New Roman" w:hAnsi="Times New Roman" w:eastAsia="仿宋_GB2312" w:cs="Times New Roman"/>
          <w:color w:val="auto"/>
          <w:sz w:val="32"/>
          <w:szCs w:val="32"/>
          <w:highlight w:val="none"/>
          <w:lang w:val="en-US" w:eastAsia="zh-CN"/>
        </w:rPr>
        <w:t>申报职称评审，须完成要求的继续教育学时。专业技术人员职称申报时，</w:t>
      </w:r>
      <w:r>
        <w:rPr>
          <w:rFonts w:hint="eastAsia" w:ascii="Times New Roman" w:hAnsi="Times New Roman" w:eastAsia="仿宋_GB2312" w:cs="Times New Roman"/>
          <w:color w:val="auto"/>
          <w:sz w:val="32"/>
          <w:szCs w:val="32"/>
          <w:highlight w:val="none"/>
          <w:lang w:val="en-US" w:eastAsia="zh-CN"/>
        </w:rPr>
        <w:t>“服务平台”</w:t>
      </w:r>
      <w:r>
        <w:rPr>
          <w:rFonts w:hint="default" w:ascii="Times New Roman" w:hAnsi="Times New Roman" w:eastAsia="仿宋_GB2312" w:cs="Times New Roman"/>
          <w:color w:val="auto"/>
          <w:sz w:val="32"/>
          <w:szCs w:val="32"/>
          <w:highlight w:val="none"/>
          <w:lang w:val="en-US" w:eastAsia="zh-CN"/>
        </w:rPr>
        <w:t>将自动从</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山东省专业技术人员继续教育公共服务平台</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提取近5年的继续教育数据。按照《关于做好202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年度专业技术人员继续教育工作的通知》（枣人社字〔202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号），在枣庄市专业技术人员继续教育服务平台已完成规定学时的，数据将进行自动对接至山东省专业技术人员继续教育公共服务平台。</w:t>
      </w:r>
    </w:p>
    <w:p w14:paraId="4C1F6E76">
      <w:pPr>
        <w:pStyle w:val="9"/>
        <w:keepNext w:val="0"/>
        <w:keepLines w:val="0"/>
        <w:pageBreakBefore w:val="0"/>
        <w:widowControl w:val="0"/>
        <w:kinsoku/>
        <w:wordWrap/>
        <w:overflowPunct w:val="0"/>
        <w:topLinePunct/>
        <w:autoSpaceDE w:val="0"/>
        <w:autoSpaceDN/>
        <w:bidi w:val="0"/>
        <w:adjustRightInd/>
        <w:snapToGrid/>
        <w:spacing w:before="0" w:beforeAutospacing="0" w:after="0" w:afterAutospacing="0" w:line="580" w:lineRule="exact"/>
        <w:ind w:left="0" w:leftChars="0" w:firstLine="640" w:firstLineChars="200"/>
        <w:jc w:val="both"/>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三、</w:t>
      </w:r>
      <w:r>
        <w:rPr>
          <w:rFonts w:hint="default" w:ascii="Times New Roman" w:hAnsi="Times New Roman" w:eastAsia="黑体" w:cs="Times New Roman"/>
          <w:color w:val="auto"/>
          <w:sz w:val="32"/>
          <w:szCs w:val="32"/>
          <w:highlight w:val="none"/>
          <w:lang w:eastAsia="zh-CN"/>
        </w:rPr>
        <w:t>申报和</w:t>
      </w:r>
      <w:r>
        <w:rPr>
          <w:rFonts w:hint="default" w:ascii="Times New Roman" w:hAnsi="Times New Roman" w:eastAsia="黑体" w:cs="Times New Roman"/>
          <w:color w:val="auto"/>
          <w:sz w:val="32"/>
          <w:szCs w:val="32"/>
          <w:highlight w:val="none"/>
        </w:rPr>
        <w:t>审核要求</w:t>
      </w:r>
    </w:p>
    <w:p w14:paraId="604DE089">
      <w:pPr>
        <w:pStyle w:val="9"/>
        <w:keepNext w:val="0"/>
        <w:keepLines w:val="0"/>
        <w:pageBreakBefore w:val="0"/>
        <w:widowControl w:val="0"/>
        <w:kinsoku/>
        <w:wordWrap/>
        <w:overflowPunct w:val="0"/>
        <w:topLinePunct/>
        <w:autoSpaceDE w:val="0"/>
        <w:autoSpaceDN/>
        <w:bidi w:val="0"/>
        <w:adjustRightInd/>
        <w:snapToGrid/>
        <w:spacing w:before="0" w:beforeAutospacing="0" w:after="0" w:afterAutospacing="0" w:line="580" w:lineRule="exact"/>
        <w:ind w:left="0" w:leftChars="0" w:firstLine="640" w:firstLineChars="200"/>
        <w:jc w:val="both"/>
        <w:textAlignment w:val="auto"/>
        <w:outlineLvl w:val="9"/>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（一）个人申报</w:t>
      </w:r>
    </w:p>
    <w:p w14:paraId="67A6F8E5">
      <w:pPr>
        <w:pStyle w:val="9"/>
        <w:keepNext w:val="0"/>
        <w:keepLines w:val="0"/>
        <w:pageBreakBefore w:val="0"/>
        <w:widowControl w:val="0"/>
        <w:shd w:val="clear" w:color="auto" w:fill="FFFFFF"/>
        <w:kinsoku/>
        <w:wordWrap/>
        <w:overflowPunct w:val="0"/>
        <w:topLinePunct/>
        <w:autoSpaceDE w:val="0"/>
        <w:autoSpaceDN/>
        <w:bidi w:val="0"/>
        <w:adjustRightInd/>
        <w:snapToGrid/>
        <w:spacing w:before="0" w:beforeAutospacing="0" w:after="0" w:afterAutospacing="0" w:line="580" w:lineRule="exact"/>
        <w:ind w:left="0" w:leftChars="0" w:firstLine="640" w:firstLineChars="200"/>
        <w:jc w:val="left"/>
        <w:textAlignment w:val="auto"/>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color w:val="auto"/>
          <w:sz w:val="32"/>
          <w:szCs w:val="32"/>
          <w:highlight w:val="none"/>
          <w:lang w:eastAsia="zh-CN"/>
        </w:rPr>
        <w:t>个人申报实行系统申报与纸质版材料相结合的方式，</w:t>
      </w:r>
      <w:r>
        <w:rPr>
          <w:rFonts w:hint="default" w:ascii="Times New Roman" w:hAnsi="Times New Roman" w:eastAsia="仿宋_GB2312" w:cs="Times New Roman"/>
          <w:b w:val="0"/>
          <w:bCs w:val="0"/>
          <w:color w:val="auto"/>
          <w:sz w:val="32"/>
          <w:szCs w:val="32"/>
          <w:highlight w:val="none"/>
          <w:lang w:eastAsia="zh-CN"/>
        </w:rPr>
        <w:t>专业技术人员需认真研究系统填报说明、纸质材料报送要求（见附件</w:t>
      </w:r>
      <w:r>
        <w:rPr>
          <w:rFonts w:hint="eastAsia" w:ascii="Times New Roman" w:hAnsi="Times New Roman" w:eastAsia="仿宋_GB2312" w:cs="Times New Roman"/>
          <w:b w:val="0"/>
          <w:bCs w:val="0"/>
          <w:color w:val="auto"/>
          <w:sz w:val="32"/>
          <w:szCs w:val="32"/>
          <w:highlight w:val="none"/>
          <w:lang w:val="en-US" w:eastAsia="zh-CN"/>
        </w:rPr>
        <w:t>4</w:t>
      </w:r>
      <w:r>
        <w:rPr>
          <w:rFonts w:hint="default" w:ascii="Times New Roman" w:hAnsi="Times New Roman" w:eastAsia="仿宋_GB2312" w:cs="Times New Roman"/>
          <w:b w:val="0"/>
          <w:bCs w:val="0"/>
          <w:color w:val="auto"/>
          <w:sz w:val="32"/>
          <w:szCs w:val="32"/>
          <w:highlight w:val="none"/>
          <w:lang w:eastAsia="zh-CN"/>
        </w:rPr>
        <w:t>），按要求提报。</w:t>
      </w:r>
      <w:r>
        <w:rPr>
          <w:rFonts w:hint="default" w:ascii="Times New Roman" w:hAnsi="Times New Roman" w:eastAsia="仿宋_GB2312" w:cs="Times New Roman"/>
          <w:b w:val="0"/>
          <w:bCs w:val="0"/>
          <w:color w:val="auto"/>
          <w:sz w:val="32"/>
          <w:szCs w:val="32"/>
          <w:highlight w:val="none"/>
        </w:rPr>
        <w:t>申报人员应及时登</w:t>
      </w:r>
      <w:r>
        <w:rPr>
          <w:rFonts w:hint="default" w:ascii="Times New Roman" w:hAnsi="Times New Roman" w:eastAsia="仿宋_GB2312" w:cs="Times New Roman"/>
          <w:b w:val="0"/>
          <w:bCs w:val="0"/>
          <w:color w:val="auto"/>
          <w:sz w:val="32"/>
          <w:szCs w:val="32"/>
          <w:highlight w:val="none"/>
          <w:lang w:eastAsia="zh-CN"/>
        </w:rPr>
        <w:t>录山东省</w:t>
      </w:r>
      <w:r>
        <w:rPr>
          <w:rFonts w:hint="default" w:ascii="Times New Roman" w:hAnsi="Times New Roman" w:eastAsia="仿宋_GB2312" w:cs="Times New Roman"/>
          <w:b w:val="0"/>
          <w:bCs w:val="0"/>
          <w:color w:val="auto"/>
          <w:sz w:val="32"/>
          <w:szCs w:val="32"/>
          <w:highlight w:val="none"/>
        </w:rPr>
        <w:t>职称评审系统个人账户查看网上申报进度，及时修改</w:t>
      </w:r>
      <w:r>
        <w:rPr>
          <w:rFonts w:hint="default" w:ascii="Times New Roman" w:hAnsi="Times New Roman" w:eastAsia="仿宋_GB2312" w:cs="Times New Roman"/>
          <w:b w:val="0"/>
          <w:bCs w:val="0"/>
          <w:color w:val="auto"/>
          <w:sz w:val="32"/>
          <w:szCs w:val="32"/>
          <w:highlight w:val="none"/>
          <w:lang w:eastAsia="zh-CN"/>
        </w:rPr>
        <w:t>报送</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color w:val="auto"/>
          <w:sz w:val="32"/>
          <w:szCs w:val="32"/>
          <w:highlight w:val="none"/>
        </w:rPr>
        <w:t>《山东省专业技术职称评审表》</w:t>
      </w:r>
      <w:r>
        <w:rPr>
          <w:rFonts w:hint="default" w:ascii="Times New Roman" w:hAnsi="Times New Roman" w:eastAsia="仿宋_GB2312" w:cs="Times New Roman"/>
          <w:color w:val="auto"/>
          <w:sz w:val="32"/>
          <w:szCs w:val="32"/>
          <w:highlight w:val="none"/>
          <w:lang w:eastAsia="zh-CN"/>
        </w:rPr>
        <w:t>在系统显示</w:t>
      </w:r>
      <w:r>
        <w:rPr>
          <w:rFonts w:hint="eastAsia" w:ascii="Times New Roman" w:hAnsi="Times New Roman" w:eastAsia="仿宋_GB2312" w:cs="Times New Roman"/>
          <w:color w:val="auto"/>
          <w:sz w:val="32"/>
          <w:szCs w:val="32"/>
          <w:highlight w:val="none"/>
          <w:lang w:eastAsia="zh-CN"/>
        </w:rPr>
        <w:t>“申报结束”</w:t>
      </w:r>
      <w:r>
        <w:rPr>
          <w:rFonts w:hint="default" w:ascii="Times New Roman" w:hAnsi="Times New Roman" w:eastAsia="仿宋_GB2312" w:cs="Times New Roman"/>
          <w:color w:val="auto"/>
          <w:sz w:val="32"/>
          <w:szCs w:val="32"/>
          <w:highlight w:val="none"/>
          <w:lang w:eastAsia="zh-CN"/>
        </w:rPr>
        <w:t>后导出，需与系统提报内容一致，</w:t>
      </w:r>
      <w:r>
        <w:rPr>
          <w:rFonts w:hint="default" w:ascii="Times New Roman" w:hAnsi="Times New Roman" w:eastAsia="仿宋_GB2312" w:cs="Times New Roman"/>
          <w:color w:val="auto"/>
          <w:sz w:val="32"/>
          <w:szCs w:val="32"/>
          <w:highlight w:val="none"/>
        </w:rPr>
        <w:t>一式3份</w:t>
      </w:r>
      <w:r>
        <w:rPr>
          <w:rFonts w:hint="default" w:ascii="Times New Roman" w:hAnsi="Times New Roman" w:eastAsia="仿宋_GB2312" w:cs="Times New Roman"/>
          <w:color w:val="auto"/>
          <w:sz w:val="32"/>
          <w:szCs w:val="32"/>
          <w:highlight w:val="none"/>
          <w:lang w:eastAsia="zh-CN"/>
        </w:rPr>
        <w:t>原件并逐级盖章报送，</w:t>
      </w:r>
      <w:r>
        <w:rPr>
          <w:rFonts w:hint="default" w:ascii="Times New Roman" w:hAnsi="Times New Roman" w:eastAsia="仿宋_GB2312" w:cs="Times New Roman"/>
          <w:b w:val="0"/>
          <w:bCs w:val="0"/>
          <w:color w:val="auto"/>
          <w:sz w:val="32"/>
          <w:szCs w:val="32"/>
          <w:highlight w:val="none"/>
        </w:rPr>
        <w:t>逾期不再受理。</w:t>
      </w:r>
    </w:p>
    <w:p w14:paraId="70317786">
      <w:pPr>
        <w:pStyle w:val="9"/>
        <w:keepNext w:val="0"/>
        <w:keepLines w:val="0"/>
        <w:pageBreakBefore w:val="0"/>
        <w:widowControl w:val="0"/>
        <w:shd w:val="clear" w:color="auto" w:fill="FFFFFF"/>
        <w:kinsoku/>
        <w:wordWrap w:val="0"/>
        <w:overflowPunct w:val="0"/>
        <w:topLinePunct/>
        <w:autoSpaceDE w:val="0"/>
        <w:autoSpaceDN/>
        <w:bidi w:val="0"/>
        <w:adjustRightInd/>
        <w:snapToGrid/>
        <w:spacing w:before="0" w:beforeAutospacing="0" w:after="0" w:afterAutospacing="0" w:line="580" w:lineRule="exact"/>
        <w:ind w:firstLine="643" w:firstLineChars="200"/>
        <w:jc w:val="both"/>
        <w:textAlignment w:val="auto"/>
        <w:outlineLvl w:val="9"/>
        <w:rPr>
          <w:rFonts w:hint="default" w:ascii="Times New Roman" w:hAnsi="Times New Roman" w:eastAsia="仿宋_GB2312" w:cs="Times New Roman"/>
          <w:b w:val="0"/>
          <w:bCs w:val="0"/>
          <w:color w:val="auto"/>
          <w:sz w:val="32"/>
          <w:szCs w:val="32"/>
          <w:highlight w:val="none"/>
          <w:shd w:val="clear" w:color="auto" w:fill="FFFFFF"/>
        </w:rPr>
      </w:pPr>
      <w:r>
        <w:rPr>
          <w:rFonts w:hint="default" w:ascii="Times New Roman" w:hAnsi="Times New Roman" w:eastAsia="仿宋_GB2312" w:cs="Times New Roman"/>
          <w:b/>
          <w:bCs/>
          <w:color w:val="auto"/>
          <w:sz w:val="32"/>
          <w:szCs w:val="32"/>
          <w:highlight w:val="none"/>
          <w:lang w:eastAsia="zh-CN"/>
        </w:rPr>
        <w:t>系统申报：</w:t>
      </w:r>
      <w:r>
        <w:rPr>
          <w:rFonts w:hint="default" w:ascii="Times New Roman" w:hAnsi="Times New Roman" w:eastAsia="仿宋_GB2312" w:cs="Times New Roman"/>
          <w:color w:val="auto"/>
          <w:sz w:val="32"/>
          <w:szCs w:val="32"/>
          <w:highlight w:val="none"/>
        </w:rPr>
        <w:t>专业技术职务资格申报评审工作使用</w:t>
      </w:r>
      <w:r>
        <w:rPr>
          <w:rFonts w:hint="eastAsia" w:ascii="Times New Roman" w:hAnsi="Times New Roman" w:eastAsia="仿宋_GB2312" w:cs="Times New Roman"/>
          <w:color w:val="auto"/>
          <w:sz w:val="32"/>
          <w:szCs w:val="32"/>
          <w:highlight w:val="none"/>
          <w:lang w:eastAsia="zh-CN"/>
        </w:rPr>
        <w:t>“山东省专业技术人员管理服务平台”</w:t>
      </w:r>
      <w:r>
        <w:rPr>
          <w:rFonts w:hint="default" w:ascii="Times New Roman" w:hAnsi="Times New Roman" w:eastAsia="仿宋_GB2312" w:cs="Times New Roman"/>
          <w:color w:val="auto"/>
          <w:sz w:val="32"/>
          <w:szCs w:val="32"/>
          <w:highlight w:val="none"/>
        </w:rPr>
        <w:t>（https://117.73.253.239:9000/sdzc</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web</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ui/business/login/login.html），或登录</w:t>
      </w:r>
      <w:r>
        <w:rPr>
          <w:rFonts w:hint="eastAsia" w:ascii="Times New Roman" w:hAnsi="Times New Roman" w:eastAsia="仿宋_GB2312" w:cs="Times New Roman"/>
          <w:color w:val="auto"/>
          <w:sz w:val="32"/>
          <w:szCs w:val="32"/>
          <w:highlight w:val="none"/>
          <w:lang w:eastAsia="zh-CN"/>
        </w:rPr>
        <w:t>“枣庄市政务服务网”</w:t>
      </w:r>
      <w:r>
        <w:rPr>
          <w:rFonts w:hint="default" w:ascii="Times New Roman" w:hAnsi="Times New Roman" w:eastAsia="仿宋_GB2312" w:cs="Times New Roman"/>
          <w:color w:val="auto"/>
          <w:sz w:val="32"/>
          <w:szCs w:val="32"/>
          <w:highlight w:val="none"/>
          <w:shd w:val="clear" w:color="auto" w:fill="FFFFFF"/>
        </w:rPr>
        <w:t>（http://zzzwfw</w:t>
      </w: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rPr>
        <w:t>sd</w:t>
      </w: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rPr>
        <w:t>gov</w:t>
      </w:r>
      <w:r>
        <w:rPr>
          <w:rFonts w:hint="default"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rPr>
        <w:t>cn/zz/public/index）注册后，在办事服务栏内搜索</w:t>
      </w:r>
      <w:r>
        <w:rPr>
          <w:rFonts w:hint="eastAsia" w:ascii="Times New Roman" w:hAnsi="Times New Roman" w:eastAsia="仿宋_GB2312" w:cs="Times New Roman"/>
          <w:color w:val="auto"/>
          <w:sz w:val="32"/>
          <w:szCs w:val="32"/>
          <w:highlight w:val="none"/>
          <w:shd w:val="clear" w:color="auto" w:fill="FFFFFF"/>
          <w:lang w:eastAsia="zh-CN"/>
        </w:rPr>
        <w:t>“职称评审及核准备案”</w:t>
      </w:r>
      <w:r>
        <w:rPr>
          <w:rFonts w:hint="default" w:ascii="Times New Roman" w:hAnsi="Times New Roman" w:eastAsia="仿宋_GB2312" w:cs="Times New Roman"/>
          <w:color w:val="auto"/>
          <w:sz w:val="32"/>
          <w:szCs w:val="32"/>
          <w:highlight w:val="none"/>
          <w:shd w:val="clear" w:color="auto" w:fill="FFFFFF"/>
        </w:rPr>
        <w:t>事项点击申报</w:t>
      </w:r>
      <w:r>
        <w:rPr>
          <w:rFonts w:hint="eastAsia" w:ascii="Times New Roman" w:hAnsi="Times New Roman" w:eastAsia="仿宋_GB2312" w:cs="Times New Roman"/>
          <w:color w:val="auto"/>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shd w:val="clear" w:color="auto" w:fill="FFFFFF"/>
          <w:lang w:eastAsia="zh-CN"/>
        </w:rPr>
        <w:t>涉及国家秘密的申报材料，一律采取线下填报，不得上传</w:t>
      </w:r>
      <w:r>
        <w:rPr>
          <w:rFonts w:hint="eastAsia" w:ascii="Times New Roman" w:hAnsi="Times New Roman" w:eastAsia="仿宋_GB2312" w:cs="Times New Roman"/>
          <w:color w:val="auto"/>
          <w:sz w:val="32"/>
          <w:szCs w:val="32"/>
          <w:highlight w:val="none"/>
          <w:shd w:val="clear" w:color="auto" w:fill="FFFFFF"/>
          <w:lang w:eastAsia="zh-CN"/>
        </w:rPr>
        <w:t>“服务平台”，</w:t>
      </w:r>
      <w:r>
        <w:rPr>
          <w:rFonts w:hint="default" w:ascii="Times New Roman" w:hAnsi="Times New Roman" w:eastAsia="仿宋_GB2312" w:cs="Times New Roman"/>
          <w:color w:val="auto"/>
          <w:sz w:val="32"/>
          <w:szCs w:val="32"/>
          <w:highlight w:val="none"/>
          <w:shd w:val="clear" w:color="auto" w:fill="FFFFFF"/>
          <w:lang w:eastAsia="zh-CN"/>
        </w:rPr>
        <w:t>对违规填报、上传、流转国家秘密的，一经发现，按照国家、省保密相关规定严肃处理。</w:t>
      </w:r>
      <w:r>
        <w:rPr>
          <w:rFonts w:hint="default" w:ascii="Times New Roman" w:hAnsi="Times New Roman" w:eastAsia="仿宋_GB2312" w:cs="Times New Roman"/>
          <w:color w:val="auto"/>
          <w:sz w:val="32"/>
          <w:szCs w:val="32"/>
          <w:highlight w:val="none"/>
        </w:rPr>
        <w:t>申报人员、单位、主管部门均可进行注册、登录，填报个人申报材料，以及进行单位（主管部门、呈报部门）审核。</w:t>
      </w:r>
      <w:r>
        <w:rPr>
          <w:rFonts w:hint="default" w:ascii="Times New Roman" w:hAnsi="Times New Roman" w:eastAsia="仿宋_GB2312" w:cs="Times New Roman"/>
          <w:color w:val="auto"/>
          <w:sz w:val="32"/>
          <w:szCs w:val="32"/>
          <w:highlight w:val="none"/>
          <w:lang w:eastAsia="zh-CN"/>
        </w:rPr>
        <w:t>职称申报评审实行个人诚信承诺制，</w:t>
      </w:r>
      <w:r>
        <w:rPr>
          <w:rFonts w:hint="default" w:ascii="Times New Roman" w:hAnsi="Times New Roman" w:eastAsia="仿宋_GB2312" w:cs="Times New Roman"/>
          <w:color w:val="auto"/>
          <w:sz w:val="32"/>
          <w:szCs w:val="32"/>
          <w:highlight w:val="none"/>
        </w:rPr>
        <w:t>专业技术人员应实事求是地填写申报材料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实施代表作制度，重点考察科研成果、论文、创作作品质量，淡化数量要求，专业技术人员应按要求提供佐证材料和能够反映本人任现职以来专业技术水平、能力、业绩的代表性成果，成果类别包括</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获奖/表彰、课题/项目、专利、论文/著作、其他</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等5类（其中人力资源管理专业为</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获奖/表彰、课题/项目、专利、论文/著作、实务、其他</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等6类），每类成果数量分别不超过3项（标准条件另有规定的除外），总数不超过15项。</w:t>
      </w:r>
      <w:r>
        <w:rPr>
          <w:rFonts w:hint="default" w:ascii="Times New Roman" w:hAnsi="Times New Roman" w:eastAsia="仿宋_GB2312" w:cs="Times New Roman"/>
          <w:b w:val="0"/>
          <w:bCs w:val="0"/>
          <w:color w:val="auto"/>
          <w:sz w:val="32"/>
          <w:szCs w:val="32"/>
          <w:highlight w:val="none"/>
        </w:rPr>
        <w:t>农业技术副高级（含基层农业高级</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基层农业技术副高级证书换发</w:t>
      </w:r>
      <w:r>
        <w:rPr>
          <w:rFonts w:hint="default" w:ascii="Times New Roman" w:hAnsi="Times New Roman" w:eastAsia="仿宋_GB2312" w:cs="Times New Roman"/>
          <w:b w:val="0"/>
          <w:bCs w:val="0"/>
          <w:color w:val="auto"/>
          <w:sz w:val="32"/>
          <w:szCs w:val="32"/>
          <w:highlight w:val="none"/>
        </w:rPr>
        <w:t>）职称申报</w:t>
      </w:r>
      <w:r>
        <w:rPr>
          <w:rFonts w:hint="default" w:ascii="Times New Roman" w:hAnsi="Times New Roman" w:eastAsia="仿宋_GB2312" w:cs="Times New Roman"/>
          <w:b w:val="0"/>
          <w:bCs w:val="0"/>
          <w:color w:val="auto"/>
          <w:sz w:val="32"/>
          <w:szCs w:val="32"/>
          <w:highlight w:val="none"/>
          <w:lang w:eastAsia="zh-CN"/>
        </w:rPr>
        <w:t>材料</w:t>
      </w:r>
      <w:r>
        <w:rPr>
          <w:rFonts w:hint="default" w:ascii="Times New Roman" w:hAnsi="Times New Roman" w:eastAsia="仿宋_GB2312" w:cs="Times New Roman"/>
          <w:b w:val="0"/>
          <w:bCs w:val="0"/>
          <w:color w:val="auto"/>
          <w:sz w:val="32"/>
          <w:szCs w:val="32"/>
          <w:highlight w:val="none"/>
        </w:rPr>
        <w:t>的</w:t>
      </w:r>
      <w:r>
        <w:rPr>
          <w:rFonts w:hint="default" w:ascii="Times New Roman" w:hAnsi="Times New Roman" w:eastAsia="仿宋_GB2312" w:cs="Times New Roman"/>
          <w:b w:val="0"/>
          <w:bCs w:val="0"/>
          <w:color w:val="auto"/>
          <w:sz w:val="32"/>
          <w:szCs w:val="32"/>
          <w:highlight w:val="none"/>
          <w:lang w:eastAsia="zh-CN"/>
        </w:rPr>
        <w:t>代表性成果</w:t>
      </w:r>
      <w:r>
        <w:rPr>
          <w:rFonts w:hint="default" w:ascii="Times New Roman" w:hAnsi="Times New Roman" w:eastAsia="仿宋_GB2312" w:cs="Times New Roman"/>
          <w:b w:val="0"/>
          <w:bCs w:val="0"/>
          <w:color w:val="auto"/>
          <w:sz w:val="32"/>
          <w:szCs w:val="32"/>
          <w:highlight w:val="none"/>
        </w:rPr>
        <w:t>，其截止日期</w:t>
      </w:r>
      <w:r>
        <w:rPr>
          <w:rFonts w:hint="default" w:ascii="Times New Roman" w:hAnsi="Times New Roman" w:eastAsia="仿宋_GB2312" w:cs="Times New Roman"/>
          <w:b w:val="0"/>
          <w:bCs w:val="0"/>
          <w:color w:val="auto"/>
          <w:sz w:val="32"/>
          <w:szCs w:val="32"/>
          <w:highlight w:val="none"/>
          <w:lang w:eastAsia="zh-CN"/>
        </w:rPr>
        <w:t>到</w:t>
      </w:r>
      <w:r>
        <w:rPr>
          <w:rFonts w:hint="default" w:ascii="Times New Roman" w:hAnsi="Times New Roman" w:eastAsia="仿宋_GB2312" w:cs="Times New Roman"/>
          <w:b w:val="0"/>
          <w:bCs w:val="0"/>
          <w:color w:val="auto"/>
          <w:sz w:val="32"/>
          <w:szCs w:val="32"/>
          <w:highlight w:val="none"/>
        </w:rPr>
        <w:t>202</w:t>
      </w:r>
      <w:r>
        <w:rPr>
          <w:rFonts w:hint="eastAsia" w:ascii="Times New Roman" w:hAnsi="Times New Roman" w:eastAsia="仿宋_GB2312" w:cs="Times New Roman"/>
          <w:b w:val="0"/>
          <w:bCs w:val="0"/>
          <w:color w:val="auto"/>
          <w:sz w:val="32"/>
          <w:szCs w:val="32"/>
          <w:highlight w:val="none"/>
          <w:lang w:val="en-US" w:eastAsia="zh-CN"/>
        </w:rPr>
        <w:t>6</w:t>
      </w:r>
      <w:r>
        <w:rPr>
          <w:rFonts w:hint="default" w:ascii="Times New Roman" w:hAnsi="Times New Roman" w:eastAsia="仿宋_GB2312" w:cs="Times New Roman"/>
          <w:b w:val="0"/>
          <w:bCs w:val="0"/>
          <w:color w:val="auto"/>
          <w:sz w:val="32"/>
          <w:szCs w:val="32"/>
          <w:highlight w:val="none"/>
        </w:rPr>
        <w:t>年</w:t>
      </w:r>
      <w:r>
        <w:rPr>
          <w:rFonts w:hint="eastAsia" w:ascii="Times New Roman" w:hAnsi="Times New Roman" w:eastAsia="仿宋_GB2312" w:cs="Times New Roman"/>
          <w:b w:val="0"/>
          <w:bCs w:val="0"/>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rPr>
        <w:t>月</w:t>
      </w:r>
      <w:r>
        <w:rPr>
          <w:rFonts w:hint="eastAsia" w:ascii="Times New Roman" w:hAnsi="Times New Roman" w:eastAsia="仿宋_GB2312" w:cs="Times New Roman"/>
          <w:b w:val="0"/>
          <w:bCs w:val="0"/>
          <w:color w:val="auto"/>
          <w:sz w:val="32"/>
          <w:szCs w:val="32"/>
          <w:highlight w:val="none"/>
          <w:lang w:val="en-US" w:eastAsia="zh-CN"/>
        </w:rPr>
        <w:t>11</w:t>
      </w:r>
      <w:r>
        <w:rPr>
          <w:rFonts w:hint="default" w:ascii="Times New Roman" w:hAnsi="Times New Roman" w:eastAsia="仿宋_GB2312" w:cs="Times New Roman"/>
          <w:b w:val="0"/>
          <w:bCs w:val="0"/>
          <w:color w:val="auto"/>
          <w:sz w:val="32"/>
          <w:szCs w:val="32"/>
          <w:highlight w:val="none"/>
        </w:rPr>
        <w:t>日，超期的不予受理</w:t>
      </w:r>
      <w:r>
        <w:rPr>
          <w:rFonts w:hint="default" w:ascii="Times New Roman" w:hAnsi="Times New Roman" w:eastAsia="仿宋_GB2312" w:cs="Times New Roman"/>
          <w:b w:val="0"/>
          <w:bCs w:val="0"/>
          <w:color w:val="auto"/>
          <w:sz w:val="32"/>
          <w:szCs w:val="32"/>
          <w:highlight w:val="none"/>
          <w:shd w:val="clear" w:color="auto" w:fill="FFFFFF"/>
        </w:rPr>
        <w:t>；</w:t>
      </w:r>
      <w:r>
        <w:rPr>
          <w:rFonts w:hint="default" w:ascii="Times New Roman" w:hAnsi="Times New Roman" w:eastAsia="仿宋_GB2312" w:cs="Times New Roman"/>
          <w:b w:val="0"/>
          <w:bCs w:val="0"/>
          <w:color w:val="auto"/>
          <w:sz w:val="32"/>
          <w:szCs w:val="32"/>
          <w:highlight w:val="none"/>
          <w:shd w:val="clear" w:color="auto" w:fill="FFFFFF"/>
          <w:lang w:eastAsia="zh-CN"/>
        </w:rPr>
        <w:t>经济副高级</w:t>
      </w:r>
      <w:r>
        <w:rPr>
          <w:rFonts w:hint="default" w:ascii="Times New Roman" w:hAnsi="Times New Roman" w:eastAsia="仿宋_GB2312" w:cs="Times New Roman"/>
          <w:b w:val="0"/>
          <w:bCs w:val="0"/>
          <w:color w:val="auto"/>
          <w:sz w:val="32"/>
          <w:szCs w:val="32"/>
          <w:highlight w:val="none"/>
        </w:rPr>
        <w:t>职称申报</w:t>
      </w:r>
      <w:r>
        <w:rPr>
          <w:rFonts w:hint="default" w:ascii="Times New Roman" w:hAnsi="Times New Roman" w:eastAsia="仿宋_GB2312" w:cs="Times New Roman"/>
          <w:b w:val="0"/>
          <w:bCs w:val="0"/>
          <w:color w:val="auto"/>
          <w:sz w:val="32"/>
          <w:szCs w:val="32"/>
          <w:highlight w:val="none"/>
          <w:lang w:eastAsia="zh-CN"/>
        </w:rPr>
        <w:t>材料</w:t>
      </w:r>
      <w:r>
        <w:rPr>
          <w:rFonts w:hint="default" w:ascii="Times New Roman" w:hAnsi="Times New Roman" w:eastAsia="仿宋_GB2312" w:cs="Times New Roman"/>
          <w:b w:val="0"/>
          <w:bCs w:val="0"/>
          <w:color w:val="auto"/>
          <w:sz w:val="32"/>
          <w:szCs w:val="32"/>
          <w:highlight w:val="none"/>
        </w:rPr>
        <w:t>的</w:t>
      </w:r>
      <w:r>
        <w:rPr>
          <w:rFonts w:hint="default" w:ascii="Times New Roman" w:hAnsi="Times New Roman" w:eastAsia="仿宋_GB2312" w:cs="Times New Roman"/>
          <w:b w:val="0"/>
          <w:bCs w:val="0"/>
          <w:color w:val="auto"/>
          <w:sz w:val="32"/>
          <w:szCs w:val="32"/>
          <w:highlight w:val="none"/>
          <w:lang w:eastAsia="zh-CN"/>
        </w:rPr>
        <w:t>代表性成果</w:t>
      </w:r>
      <w:r>
        <w:rPr>
          <w:rFonts w:hint="default" w:ascii="Times New Roman" w:hAnsi="Times New Roman" w:eastAsia="仿宋_GB2312" w:cs="Times New Roman"/>
          <w:b w:val="0"/>
          <w:bCs w:val="0"/>
          <w:color w:val="auto"/>
          <w:sz w:val="32"/>
          <w:szCs w:val="32"/>
          <w:highlight w:val="none"/>
        </w:rPr>
        <w:t>，其截止日期</w:t>
      </w:r>
      <w:r>
        <w:rPr>
          <w:rFonts w:hint="default" w:ascii="Times New Roman" w:hAnsi="Times New Roman" w:eastAsia="仿宋_GB2312" w:cs="Times New Roman"/>
          <w:b w:val="0"/>
          <w:bCs w:val="0"/>
          <w:color w:val="auto"/>
          <w:sz w:val="32"/>
          <w:szCs w:val="32"/>
          <w:highlight w:val="none"/>
          <w:lang w:eastAsia="zh-CN"/>
        </w:rPr>
        <w:t>到</w:t>
      </w:r>
      <w:r>
        <w:rPr>
          <w:rFonts w:hint="default" w:ascii="Times New Roman" w:hAnsi="Times New Roman" w:eastAsia="仿宋_GB2312" w:cs="Times New Roman"/>
          <w:b w:val="0"/>
          <w:bCs w:val="0"/>
          <w:color w:val="auto"/>
          <w:sz w:val="32"/>
          <w:szCs w:val="32"/>
          <w:highlight w:val="none"/>
        </w:rPr>
        <w:t>202</w:t>
      </w:r>
      <w:r>
        <w:rPr>
          <w:rFonts w:hint="eastAsia" w:ascii="Times New Roman" w:hAnsi="Times New Roman" w:eastAsia="仿宋_GB2312" w:cs="Times New Roman"/>
          <w:b w:val="0"/>
          <w:bCs w:val="0"/>
          <w:color w:val="auto"/>
          <w:sz w:val="32"/>
          <w:szCs w:val="32"/>
          <w:highlight w:val="none"/>
          <w:lang w:val="en-US" w:eastAsia="zh-CN"/>
        </w:rPr>
        <w:t>6</w:t>
      </w:r>
      <w:r>
        <w:rPr>
          <w:rFonts w:hint="default" w:ascii="Times New Roman" w:hAnsi="Times New Roman" w:eastAsia="仿宋_GB2312" w:cs="Times New Roman"/>
          <w:b w:val="0"/>
          <w:bCs w:val="0"/>
          <w:color w:val="auto"/>
          <w:sz w:val="32"/>
          <w:szCs w:val="32"/>
          <w:highlight w:val="none"/>
        </w:rPr>
        <w:t>年</w:t>
      </w:r>
      <w:r>
        <w:rPr>
          <w:rFonts w:hint="eastAsia" w:ascii="Times New Roman" w:hAnsi="Times New Roman" w:eastAsia="仿宋_GB2312" w:cs="Times New Roman"/>
          <w:b w:val="0"/>
          <w:bCs w:val="0"/>
          <w:color w:val="auto"/>
          <w:sz w:val="32"/>
          <w:szCs w:val="32"/>
          <w:highlight w:val="none"/>
          <w:lang w:val="en-US" w:eastAsia="zh-CN"/>
        </w:rPr>
        <w:t>8</w:t>
      </w:r>
      <w:r>
        <w:rPr>
          <w:rFonts w:hint="default" w:ascii="Times New Roman" w:hAnsi="Times New Roman" w:eastAsia="仿宋_GB2312" w:cs="Times New Roman"/>
          <w:b w:val="0"/>
          <w:bCs w:val="0"/>
          <w:color w:val="auto"/>
          <w:sz w:val="32"/>
          <w:szCs w:val="32"/>
          <w:highlight w:val="none"/>
        </w:rPr>
        <w:t>月</w:t>
      </w:r>
      <w:r>
        <w:rPr>
          <w:rFonts w:hint="eastAsia" w:ascii="Times New Roman" w:hAnsi="Times New Roman" w:eastAsia="仿宋_GB2312" w:cs="Times New Roman"/>
          <w:b w:val="0"/>
          <w:bCs w:val="0"/>
          <w:color w:val="auto"/>
          <w:sz w:val="32"/>
          <w:szCs w:val="32"/>
          <w:highlight w:val="none"/>
          <w:lang w:val="en-US" w:eastAsia="zh-CN"/>
        </w:rPr>
        <w:t>21</w:t>
      </w:r>
      <w:r>
        <w:rPr>
          <w:rFonts w:hint="default" w:ascii="Times New Roman" w:hAnsi="Times New Roman" w:eastAsia="仿宋_GB2312" w:cs="Times New Roman"/>
          <w:b w:val="0"/>
          <w:bCs w:val="0"/>
          <w:color w:val="auto"/>
          <w:sz w:val="32"/>
          <w:szCs w:val="32"/>
          <w:highlight w:val="none"/>
        </w:rPr>
        <w:t>日，超期的不予受理</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工程技术副高（含基层工程高级</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基层工程技术副高级证书换发</w:t>
      </w:r>
      <w:r>
        <w:rPr>
          <w:rFonts w:hint="default" w:ascii="Times New Roman" w:hAnsi="Times New Roman" w:eastAsia="仿宋_GB2312" w:cs="Times New Roman"/>
          <w:b w:val="0"/>
          <w:bCs w:val="0"/>
          <w:color w:val="auto"/>
          <w:sz w:val="32"/>
          <w:szCs w:val="32"/>
          <w:highlight w:val="none"/>
        </w:rPr>
        <w:t>）职称申报</w:t>
      </w:r>
      <w:r>
        <w:rPr>
          <w:rFonts w:hint="default" w:ascii="Times New Roman" w:hAnsi="Times New Roman" w:eastAsia="仿宋_GB2312" w:cs="Times New Roman"/>
          <w:b w:val="0"/>
          <w:bCs w:val="0"/>
          <w:color w:val="auto"/>
          <w:sz w:val="32"/>
          <w:szCs w:val="32"/>
          <w:highlight w:val="none"/>
          <w:lang w:eastAsia="zh-CN"/>
        </w:rPr>
        <w:t>材料</w:t>
      </w:r>
      <w:r>
        <w:rPr>
          <w:rFonts w:hint="default" w:ascii="Times New Roman" w:hAnsi="Times New Roman" w:eastAsia="仿宋_GB2312" w:cs="Times New Roman"/>
          <w:b w:val="0"/>
          <w:bCs w:val="0"/>
          <w:color w:val="auto"/>
          <w:sz w:val="32"/>
          <w:szCs w:val="32"/>
          <w:highlight w:val="none"/>
        </w:rPr>
        <w:t>的</w:t>
      </w:r>
      <w:r>
        <w:rPr>
          <w:rFonts w:hint="default" w:ascii="Times New Roman" w:hAnsi="Times New Roman" w:eastAsia="仿宋_GB2312" w:cs="Times New Roman"/>
          <w:b w:val="0"/>
          <w:bCs w:val="0"/>
          <w:color w:val="auto"/>
          <w:sz w:val="32"/>
          <w:szCs w:val="32"/>
          <w:highlight w:val="none"/>
          <w:lang w:eastAsia="zh-CN"/>
        </w:rPr>
        <w:t>代表性成果</w:t>
      </w:r>
      <w:r>
        <w:rPr>
          <w:rFonts w:hint="default" w:ascii="Times New Roman" w:hAnsi="Times New Roman" w:eastAsia="仿宋_GB2312" w:cs="Times New Roman"/>
          <w:b w:val="0"/>
          <w:bCs w:val="0"/>
          <w:color w:val="auto"/>
          <w:sz w:val="32"/>
          <w:szCs w:val="32"/>
          <w:highlight w:val="none"/>
        </w:rPr>
        <w:t>，其截止日期</w:t>
      </w:r>
      <w:r>
        <w:rPr>
          <w:rFonts w:hint="default" w:ascii="Times New Roman" w:hAnsi="Times New Roman" w:eastAsia="仿宋_GB2312" w:cs="Times New Roman"/>
          <w:b w:val="0"/>
          <w:bCs w:val="0"/>
          <w:color w:val="auto"/>
          <w:sz w:val="32"/>
          <w:szCs w:val="32"/>
          <w:highlight w:val="none"/>
          <w:lang w:eastAsia="zh-CN"/>
        </w:rPr>
        <w:t>到</w:t>
      </w:r>
      <w:r>
        <w:rPr>
          <w:rFonts w:hint="default" w:ascii="Times New Roman" w:hAnsi="Times New Roman" w:eastAsia="仿宋_GB2312" w:cs="Times New Roman"/>
          <w:b w:val="0"/>
          <w:bCs w:val="0"/>
          <w:color w:val="auto"/>
          <w:sz w:val="32"/>
          <w:szCs w:val="32"/>
          <w:highlight w:val="none"/>
        </w:rPr>
        <w:t>202</w:t>
      </w:r>
      <w:r>
        <w:rPr>
          <w:rFonts w:hint="eastAsia" w:ascii="Times New Roman" w:hAnsi="Times New Roman" w:eastAsia="仿宋_GB2312" w:cs="Times New Roman"/>
          <w:b w:val="0"/>
          <w:bCs w:val="0"/>
          <w:color w:val="auto"/>
          <w:sz w:val="32"/>
          <w:szCs w:val="32"/>
          <w:highlight w:val="none"/>
          <w:lang w:val="en-US" w:eastAsia="zh-CN"/>
        </w:rPr>
        <w:t>6</w:t>
      </w:r>
      <w:r>
        <w:rPr>
          <w:rFonts w:hint="default" w:ascii="Times New Roman" w:hAnsi="Times New Roman" w:eastAsia="仿宋_GB2312" w:cs="Times New Roman"/>
          <w:b w:val="0"/>
          <w:bCs w:val="0"/>
          <w:color w:val="auto"/>
          <w:sz w:val="32"/>
          <w:szCs w:val="32"/>
          <w:highlight w:val="none"/>
        </w:rPr>
        <w:t>年</w:t>
      </w:r>
      <w:r>
        <w:rPr>
          <w:rFonts w:hint="default" w:ascii="Times New Roman" w:hAnsi="Times New Roman" w:eastAsia="仿宋_GB2312" w:cs="Times New Roman"/>
          <w:b w:val="0"/>
          <w:bCs w:val="0"/>
          <w:color w:val="auto"/>
          <w:sz w:val="32"/>
          <w:szCs w:val="32"/>
          <w:highlight w:val="none"/>
          <w:lang w:val="en-US" w:eastAsia="zh-CN"/>
        </w:rPr>
        <w:t>9</w:t>
      </w:r>
      <w:r>
        <w:rPr>
          <w:rFonts w:hint="default" w:ascii="Times New Roman" w:hAnsi="Times New Roman" w:eastAsia="仿宋_GB2312" w:cs="Times New Roman"/>
          <w:b w:val="0"/>
          <w:bCs w:val="0"/>
          <w:color w:val="auto"/>
          <w:sz w:val="32"/>
          <w:szCs w:val="32"/>
          <w:highlight w:val="none"/>
        </w:rPr>
        <w:t>月</w:t>
      </w:r>
      <w:r>
        <w:rPr>
          <w:rFonts w:hint="eastAsia" w:ascii="Times New Roman" w:hAnsi="Times New Roman" w:eastAsia="仿宋_GB2312" w:cs="Times New Roman"/>
          <w:b w:val="0"/>
          <w:bCs w:val="0"/>
          <w:color w:val="auto"/>
          <w:sz w:val="32"/>
          <w:szCs w:val="32"/>
          <w:highlight w:val="none"/>
          <w:lang w:val="en-US" w:eastAsia="zh-CN"/>
        </w:rPr>
        <w:t>18</w:t>
      </w:r>
      <w:r>
        <w:rPr>
          <w:rFonts w:hint="default" w:ascii="Times New Roman" w:hAnsi="Times New Roman" w:eastAsia="仿宋_GB2312" w:cs="Times New Roman"/>
          <w:b w:val="0"/>
          <w:bCs w:val="0"/>
          <w:color w:val="auto"/>
          <w:sz w:val="32"/>
          <w:szCs w:val="32"/>
          <w:highlight w:val="none"/>
        </w:rPr>
        <w:t>日，超期的不予受理</w:t>
      </w:r>
      <w:r>
        <w:rPr>
          <w:rFonts w:hint="default" w:ascii="Times New Roman" w:hAnsi="Times New Roman" w:eastAsia="仿宋_GB2312" w:cs="Times New Roman"/>
          <w:b w:val="0"/>
          <w:bCs w:val="0"/>
          <w:color w:val="auto"/>
          <w:sz w:val="32"/>
          <w:szCs w:val="32"/>
          <w:highlight w:val="none"/>
          <w:shd w:val="clear" w:color="auto" w:fill="FFFFFF"/>
          <w:lang w:eastAsia="zh-CN"/>
        </w:rPr>
        <w:t>；</w:t>
      </w:r>
      <w:r>
        <w:rPr>
          <w:rFonts w:hint="default" w:ascii="Times New Roman" w:hAnsi="Times New Roman" w:eastAsia="仿宋_GB2312" w:cs="Times New Roman"/>
          <w:b w:val="0"/>
          <w:bCs w:val="0"/>
          <w:color w:val="auto"/>
          <w:sz w:val="32"/>
          <w:szCs w:val="32"/>
          <w:highlight w:val="none"/>
          <w:shd w:val="clear" w:color="auto" w:fill="FFFFFF"/>
        </w:rPr>
        <w:t>工作年限均计算到202</w:t>
      </w:r>
      <w:r>
        <w:rPr>
          <w:rFonts w:hint="eastAsia" w:ascii="Times New Roman" w:hAnsi="Times New Roman" w:eastAsia="仿宋_GB2312" w:cs="Times New Roman"/>
          <w:b w:val="0"/>
          <w:bCs w:val="0"/>
          <w:color w:val="auto"/>
          <w:sz w:val="32"/>
          <w:szCs w:val="32"/>
          <w:highlight w:val="none"/>
          <w:shd w:val="clear" w:color="auto" w:fill="FFFFFF"/>
          <w:lang w:val="en-US" w:eastAsia="zh-CN"/>
        </w:rPr>
        <w:t>6</w:t>
      </w:r>
      <w:r>
        <w:rPr>
          <w:rFonts w:hint="default" w:ascii="Times New Roman" w:hAnsi="Times New Roman" w:eastAsia="仿宋_GB2312" w:cs="Times New Roman"/>
          <w:b w:val="0"/>
          <w:bCs w:val="0"/>
          <w:color w:val="auto"/>
          <w:sz w:val="32"/>
          <w:szCs w:val="32"/>
          <w:highlight w:val="none"/>
          <w:shd w:val="clear" w:color="auto" w:fill="FFFFFF"/>
        </w:rPr>
        <w:t>年12月31日。</w:t>
      </w:r>
    </w:p>
    <w:p w14:paraId="0FCBACAE">
      <w:pPr>
        <w:pStyle w:val="9"/>
        <w:keepNext w:val="0"/>
        <w:keepLines w:val="0"/>
        <w:pageBreakBefore w:val="0"/>
        <w:widowControl w:val="0"/>
        <w:kinsoku/>
        <w:wordWrap/>
        <w:overflowPunct w:val="0"/>
        <w:topLinePunct/>
        <w:autoSpaceDE w:val="0"/>
        <w:autoSpaceDN/>
        <w:bidi w:val="0"/>
        <w:adjustRightInd/>
        <w:snapToGrid/>
        <w:spacing w:before="0" w:beforeAutospacing="0" w:after="0" w:afterAutospacing="0" w:line="580" w:lineRule="exact"/>
        <w:ind w:left="0" w:leftChars="0" w:firstLine="643" w:firstLineChars="200"/>
        <w:jc w:val="both"/>
        <w:textAlignment w:val="auto"/>
        <w:outlineLvl w:val="9"/>
        <w:rPr>
          <w:rFonts w:hint="default" w:ascii="Times New Roman" w:hAnsi="Times New Roman" w:eastAsia="仿宋_GB2312" w:cs="Times New Roman"/>
          <w:b/>
          <w:bCs/>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纸质版材料申报：</w:t>
      </w:r>
      <w:r>
        <w:rPr>
          <w:rFonts w:hint="default" w:ascii="Times New Roman" w:hAnsi="Times New Roman" w:eastAsia="仿宋_GB2312" w:cs="Times New Roman"/>
          <w:color w:val="auto"/>
          <w:sz w:val="32"/>
          <w:szCs w:val="32"/>
          <w:highlight w:val="none"/>
        </w:rPr>
        <w:t>申报人员的资格证书、聘书（聘任文件）、继续教育证书、年度考核、论文著作、表彰奖励、业绩表现等材料均提供复印件，不再提供原件。2001年以后取得的学历需提供通过中国高等教育学生信息网</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http://www</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chsi</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com</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cn</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在线认证后打印的《教育部学历证书电子注册备案表》，无需提供原件</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2001年以前取得的学历需提供学历学位证书复印件。学历证书丢失的人员需提供毕业生登记表复印件。专业技术人员填写《山东省专业技术职称评审表》时，应在</w:t>
      </w:r>
      <w:r>
        <w:rPr>
          <w:rFonts w:hint="eastAsia" w:ascii="Times New Roman" w:hAnsi="Times New Roman" w:eastAsia="仿宋_GB2312" w:cs="Times New Roman"/>
          <w:color w:val="auto"/>
          <w:sz w:val="32"/>
          <w:szCs w:val="32"/>
          <w:highlight w:val="none"/>
          <w:lang w:eastAsia="zh-CN"/>
        </w:rPr>
        <w:t>“诚信承诺书”</w:t>
      </w:r>
      <w:r>
        <w:rPr>
          <w:rFonts w:hint="default" w:ascii="Times New Roman" w:hAnsi="Times New Roman" w:eastAsia="仿宋_GB2312" w:cs="Times New Roman"/>
          <w:color w:val="auto"/>
          <w:sz w:val="32"/>
          <w:szCs w:val="32"/>
          <w:highlight w:val="none"/>
        </w:rPr>
        <w:t>栏目签署本人姓名及日期，禁止他人代签，承诺网上提报的材料真实有效。</w:t>
      </w:r>
    </w:p>
    <w:p w14:paraId="3A8E5C15">
      <w:pPr>
        <w:pStyle w:val="9"/>
        <w:keepNext w:val="0"/>
        <w:keepLines w:val="0"/>
        <w:pageBreakBefore w:val="0"/>
        <w:widowControl w:val="0"/>
        <w:kinsoku/>
        <w:wordWrap/>
        <w:overflowPunct w:val="0"/>
        <w:topLinePunct/>
        <w:autoSpaceDE w:val="0"/>
        <w:autoSpaceDN/>
        <w:bidi w:val="0"/>
        <w:adjustRightInd/>
        <w:snapToGrid/>
        <w:spacing w:before="0" w:beforeAutospacing="0" w:after="0" w:afterAutospacing="0" w:line="580" w:lineRule="exact"/>
        <w:ind w:left="0" w:leftChars="0" w:firstLine="640" w:firstLineChars="200"/>
        <w:jc w:val="both"/>
        <w:textAlignment w:val="auto"/>
        <w:outlineLvl w:val="9"/>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（二）单位审核</w:t>
      </w:r>
    </w:p>
    <w:p w14:paraId="77B008D4">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专业技术人员所在单位负责审查申报材料的合法性、真实性、完整性和有效性。单位组织推荐时，</w:t>
      </w:r>
      <w:r>
        <w:rPr>
          <w:rFonts w:hint="eastAsia" w:ascii="Times New Roman" w:hAnsi="Times New Roman" w:eastAsia="仿宋_GB2312" w:cs="Times New Roman"/>
          <w:color w:val="auto"/>
          <w:sz w:val="32"/>
          <w:szCs w:val="32"/>
          <w:highlight w:val="none"/>
          <w:lang w:val="en-US" w:eastAsia="zh-CN"/>
        </w:rPr>
        <w:t>要注重实绩导向，在考核任务、攻坚克难专项行动、重点项目落地见效等方面做出重大贡献的予以倾斜，</w:t>
      </w:r>
      <w:r>
        <w:rPr>
          <w:rFonts w:hint="default" w:ascii="Times New Roman" w:hAnsi="Times New Roman" w:eastAsia="仿宋_GB2312" w:cs="Times New Roman"/>
          <w:color w:val="auto"/>
          <w:sz w:val="32"/>
          <w:szCs w:val="32"/>
          <w:highlight w:val="none"/>
          <w:lang w:eastAsia="zh-CN"/>
        </w:rPr>
        <w:t>不得将论文作为推荐的</w:t>
      </w:r>
      <w:r>
        <w:rPr>
          <w:rFonts w:hint="eastAsia" w:ascii="Times New Roman" w:hAnsi="Times New Roman" w:eastAsia="仿宋_GB2312" w:cs="Times New Roman"/>
          <w:color w:val="auto"/>
          <w:sz w:val="32"/>
          <w:szCs w:val="32"/>
          <w:highlight w:val="none"/>
          <w:lang w:eastAsia="zh-CN"/>
        </w:rPr>
        <w:t>门槛</w:t>
      </w:r>
      <w:r>
        <w:rPr>
          <w:rFonts w:hint="default" w:ascii="Times New Roman" w:hAnsi="Times New Roman" w:eastAsia="仿宋_GB2312" w:cs="Times New Roman"/>
          <w:color w:val="auto"/>
          <w:sz w:val="32"/>
          <w:szCs w:val="32"/>
          <w:highlight w:val="none"/>
          <w:lang w:eastAsia="zh-CN"/>
        </w:rPr>
        <w:t>条件</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rPr>
        <w:t>要按规定公开专业技术</w:t>
      </w:r>
      <w:r>
        <w:rPr>
          <w:rFonts w:hint="default" w:ascii="Times New Roman" w:hAnsi="Times New Roman" w:eastAsia="仿宋_GB2312" w:cs="Times New Roman"/>
          <w:color w:val="auto"/>
          <w:sz w:val="32"/>
          <w:szCs w:val="32"/>
          <w:highlight w:val="none"/>
          <w:lang w:eastAsia="zh-CN"/>
        </w:rPr>
        <w:t>岗位数、</w:t>
      </w:r>
      <w:r>
        <w:rPr>
          <w:rFonts w:hint="default" w:ascii="Times New Roman" w:hAnsi="Times New Roman" w:eastAsia="仿宋_GB2312" w:cs="Times New Roman"/>
          <w:color w:val="auto"/>
          <w:sz w:val="32"/>
          <w:szCs w:val="32"/>
          <w:highlight w:val="none"/>
        </w:rPr>
        <w:t>任职条件、推荐办法、申报人评审材料、被推荐申报人员名单等情况</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要严格程序，严密组织，按要求成立7人以上在相应专业技术岗位上工作的人员组成的推荐委员会（专家委员会或学术委员会，规模较大的单位应相应增加人数），对申报人的职业道德、工作态度、学术技术水平、工作能力和业绩贡献等进行综合评价，提出推荐名单。单位根据推荐委员会提出的推荐名单，研究确定推荐人选</w:t>
      </w:r>
      <w:r>
        <w:rPr>
          <w:rFonts w:hint="default" w:ascii="Times New Roman" w:hAnsi="Times New Roman" w:eastAsia="仿宋_GB2312" w:cs="Times New Roman"/>
          <w:color w:val="auto"/>
          <w:sz w:val="32"/>
          <w:szCs w:val="32"/>
          <w:highlight w:val="none"/>
          <w:lang w:eastAsia="zh-CN"/>
        </w:rPr>
        <w:t>，要重点审查申报人员在业绩成果形成、成果评价、成果发表等方面，是否存在品德失范行为，将科研诚信审核作为职称评审推荐的必要程序</w:t>
      </w:r>
      <w:r>
        <w:rPr>
          <w:rFonts w:hint="default" w:ascii="Times New Roman" w:hAnsi="Times New Roman" w:eastAsia="仿宋_GB2312" w:cs="Times New Roman"/>
          <w:color w:val="auto"/>
          <w:sz w:val="32"/>
          <w:szCs w:val="32"/>
          <w:highlight w:val="none"/>
        </w:rPr>
        <w:t>。要按规定将申报材料和投诉受理部门及电话，在单位显著位置公示，有条件的单位应同时在单位网站首页进行公示，公示时间不少于5个工作日。经公示5个工作日无异议后方可推荐上报。</w:t>
      </w:r>
    </w:p>
    <w:p w14:paraId="31154250">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所在单位在《山东省专业技术职称评审表》的单位意见栏应由单位负责人签名，并加盖单位公章。</w:t>
      </w:r>
      <w:r>
        <w:rPr>
          <w:rFonts w:hint="default" w:ascii="Times New Roman" w:hAnsi="Times New Roman" w:eastAsia="仿宋_GB2312" w:cs="Times New Roman"/>
          <w:color w:val="auto"/>
          <w:sz w:val="32"/>
          <w:szCs w:val="32"/>
          <w:highlight w:val="none"/>
          <w:lang w:eastAsia="zh-CN"/>
        </w:rPr>
        <w:t>审核申报材料复印件后加盖单位公章，</w:t>
      </w:r>
      <w:r>
        <w:rPr>
          <w:rFonts w:hint="default" w:ascii="Times New Roman" w:hAnsi="Times New Roman" w:eastAsia="仿宋_GB2312" w:cs="Times New Roman"/>
          <w:color w:val="auto"/>
          <w:sz w:val="32"/>
          <w:szCs w:val="32"/>
          <w:highlight w:val="none"/>
        </w:rPr>
        <w:t>对不符合申报条件的材料，应及时退回并向申报人说明原因。如发现实际情况与网上申报材料不一致或弄虚作假的，经调查核实后对申报人员和相关工作人员按有关规定予以严肃处理。</w:t>
      </w:r>
    </w:p>
    <w:p w14:paraId="521E2016">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（三）主管部门、呈报部门、评委会办事机构审核</w:t>
      </w:r>
    </w:p>
    <w:p w14:paraId="29B30269">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单位主管部门、呈报部门、评委会办事机构要认真审核</w:t>
      </w:r>
      <w:r>
        <w:rPr>
          <w:rFonts w:hint="default" w:ascii="Times New Roman" w:hAnsi="Times New Roman" w:eastAsia="仿宋_GB2312" w:cs="Times New Roman"/>
          <w:color w:val="auto"/>
          <w:sz w:val="32"/>
          <w:szCs w:val="32"/>
          <w:highlight w:val="none"/>
          <w:lang w:eastAsia="zh-CN"/>
        </w:rPr>
        <w:t>系统</w:t>
      </w:r>
      <w:r>
        <w:rPr>
          <w:rFonts w:hint="default" w:ascii="Times New Roman" w:hAnsi="Times New Roman" w:eastAsia="仿宋_GB2312" w:cs="Times New Roman"/>
          <w:color w:val="auto"/>
          <w:sz w:val="32"/>
          <w:szCs w:val="32"/>
          <w:highlight w:val="none"/>
        </w:rPr>
        <w:t>和</w:t>
      </w:r>
      <w:r>
        <w:rPr>
          <w:rFonts w:hint="default" w:ascii="Times New Roman" w:hAnsi="Times New Roman" w:eastAsia="仿宋_GB2312" w:cs="Times New Roman"/>
          <w:color w:val="auto"/>
          <w:sz w:val="32"/>
          <w:szCs w:val="32"/>
          <w:highlight w:val="none"/>
          <w:lang w:eastAsia="zh-CN"/>
        </w:rPr>
        <w:t>纸质版</w:t>
      </w:r>
      <w:r>
        <w:rPr>
          <w:rFonts w:hint="default" w:ascii="Times New Roman" w:hAnsi="Times New Roman" w:eastAsia="仿宋_GB2312" w:cs="Times New Roman"/>
          <w:color w:val="auto"/>
          <w:sz w:val="32"/>
          <w:szCs w:val="32"/>
          <w:highlight w:val="none"/>
        </w:rPr>
        <w:t>申报材料。对不符合申报条件和程序、超出评委会受理范围或违反委托评审程序报送的申报材料，应及时按原报送渠道退回，并请用人单位书面告知申报人。凡有以下情形之一的，不予受理：不符合评审条件；不符合填写规范；不按规定时间、程序报送；未经或未按规定进行公示；有弄虚作假行为；其它不符合职称政策规定的。对符合条件的，在申报材料的相应意见栏中签署意见，签字盖章，连同其他申报材料，由呈报部门按规定时间报送到指定地点。呈报部门</w:t>
      </w:r>
      <w:r>
        <w:rPr>
          <w:rFonts w:hint="default" w:ascii="Times New Roman" w:hAnsi="Times New Roman" w:eastAsia="仿宋_GB2312" w:cs="Times New Roman"/>
          <w:color w:val="auto"/>
          <w:sz w:val="32"/>
          <w:szCs w:val="32"/>
          <w:highlight w:val="none"/>
          <w:lang w:eastAsia="zh-CN"/>
        </w:rPr>
        <w:t>要对单位负责职称工作同志进行业务培训，严格审核把关材料，评委会对退回率超过</w:t>
      </w:r>
      <w:r>
        <w:rPr>
          <w:rFonts w:hint="default" w:ascii="Times New Roman" w:hAnsi="Times New Roman" w:eastAsia="仿宋_GB2312" w:cs="Times New Roman"/>
          <w:color w:val="auto"/>
          <w:sz w:val="32"/>
          <w:szCs w:val="32"/>
          <w:highlight w:val="none"/>
          <w:lang w:val="en-US" w:eastAsia="zh-CN"/>
        </w:rPr>
        <w:t>50%的呈报部门，可采取通报、全部申报材料退回修改的方式予以告诫。</w:t>
      </w:r>
    </w:p>
    <w:p w14:paraId="54A5E42D">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楷体_GB2312" w:cs="Times New Roman"/>
          <w:color w:val="auto"/>
          <w:sz w:val="32"/>
          <w:szCs w:val="32"/>
          <w:highlight w:val="none"/>
        </w:rPr>
      </w:pPr>
      <w:r>
        <w:rPr>
          <w:rFonts w:hint="default" w:ascii="Times New Roman" w:hAnsi="Times New Roman" w:eastAsia="黑体" w:cs="Times New Roman"/>
          <w:color w:val="auto"/>
          <w:sz w:val="32"/>
          <w:szCs w:val="32"/>
          <w:highlight w:val="none"/>
        </w:rPr>
        <w:t>四、评审委员会组建及调整</w:t>
      </w:r>
    </w:p>
    <w:p w14:paraId="16594AA4">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eastAsia="zh-CN"/>
        </w:rPr>
        <w:t>面向有锂电技术专业职称需求的专业技术人才，在工程技术系列初、中、高级评委会</w:t>
      </w:r>
      <w:r>
        <w:rPr>
          <w:rFonts w:hint="eastAsia" w:ascii="Times New Roman" w:hAnsi="Times New Roman" w:eastAsia="仿宋_GB2312" w:cs="Times New Roman"/>
          <w:b w:val="0"/>
          <w:bCs w:val="0"/>
          <w:color w:val="auto"/>
          <w:sz w:val="32"/>
          <w:szCs w:val="32"/>
          <w:highlight w:val="none"/>
          <w:lang w:eastAsia="zh-CN"/>
        </w:rPr>
        <w:t>继续</w:t>
      </w:r>
      <w:r>
        <w:rPr>
          <w:rFonts w:hint="default" w:ascii="Times New Roman" w:hAnsi="Times New Roman" w:eastAsia="仿宋_GB2312" w:cs="Times New Roman"/>
          <w:b w:val="0"/>
          <w:bCs w:val="0"/>
          <w:color w:val="auto"/>
          <w:sz w:val="32"/>
          <w:szCs w:val="32"/>
          <w:highlight w:val="none"/>
          <w:lang w:eastAsia="zh-CN"/>
        </w:rPr>
        <w:t>增设锂电技术专业方向。</w:t>
      </w:r>
    </w:p>
    <w:p w14:paraId="41E0A49C">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五、公示及发文发证</w:t>
      </w:r>
    </w:p>
    <w:p w14:paraId="2152380A">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评审结束后，评审委员会组建单位应及时在</w:t>
      </w:r>
      <w:r>
        <w:rPr>
          <w:rFonts w:hint="eastAsia" w:ascii="Times New Roman" w:hAnsi="Times New Roman" w:eastAsia="仿宋_GB2312" w:cs="Times New Roman"/>
          <w:color w:val="auto"/>
          <w:sz w:val="32"/>
          <w:szCs w:val="32"/>
          <w:highlight w:val="none"/>
          <w:lang w:eastAsia="zh-CN"/>
        </w:rPr>
        <w:t>“服务平台”</w:t>
      </w:r>
      <w:r>
        <w:rPr>
          <w:rFonts w:hint="default" w:ascii="Times New Roman" w:hAnsi="Times New Roman" w:eastAsia="仿宋_GB2312" w:cs="Times New Roman"/>
          <w:color w:val="auto"/>
          <w:sz w:val="32"/>
          <w:szCs w:val="32"/>
          <w:highlight w:val="none"/>
        </w:rPr>
        <w:t>和组建单位官方网站对评审结果进行公示，公示期不少于5个工作日。评审结果公示结束后，人力资源社会保障部门或评审委员会组建单位应按程序确认或核准备案，及时行文公布，职称取得时间从评审通过之日起算。全面推行职称电子证书，与纸质证书具有同等效力。专业技术人才可以登录</w:t>
      </w:r>
      <w:r>
        <w:rPr>
          <w:rFonts w:hint="eastAsia" w:ascii="Times New Roman" w:hAnsi="Times New Roman" w:eastAsia="仿宋_GB2312" w:cs="Times New Roman"/>
          <w:color w:val="auto"/>
          <w:sz w:val="32"/>
          <w:szCs w:val="32"/>
          <w:highlight w:val="none"/>
          <w:lang w:eastAsia="zh-CN"/>
        </w:rPr>
        <w:t>“服务平台”</w:t>
      </w:r>
      <w:r>
        <w:rPr>
          <w:rFonts w:hint="default" w:ascii="Times New Roman" w:hAnsi="Times New Roman" w:eastAsia="仿宋_GB2312" w:cs="Times New Roman"/>
          <w:color w:val="auto"/>
          <w:sz w:val="32"/>
          <w:szCs w:val="32"/>
          <w:highlight w:val="none"/>
        </w:rPr>
        <w:t>下载打印电子证书。</w:t>
      </w:r>
    </w:p>
    <w:p w14:paraId="4B954BC2">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六、纪律要求</w:t>
      </w:r>
    </w:p>
    <w:p w14:paraId="462D8326">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eastAsia"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（一）严肃评审纪律。</w:t>
      </w:r>
      <w:r>
        <w:rPr>
          <w:rFonts w:hint="eastAsia" w:ascii="Times New Roman" w:hAnsi="Times New Roman" w:eastAsia="仿宋_GB2312" w:cs="Times New Roman"/>
          <w:color w:val="auto"/>
          <w:sz w:val="32"/>
          <w:szCs w:val="32"/>
          <w:highlight w:val="none"/>
        </w:rPr>
        <w:t>各部门（单位）要按照我省职称相关政策要求，严肃认真做好本部门（单位）申报工作，要对照资格条件，逐条逐项把好资格审查关。信访、投诉问题主要由用人单位人事（职称）管理部门在呈报部门指导下调查核实，接受单位纪检监察部门的指导和监督。经查实存在弄虚作假或其它违规行为的申报材料不得报送，并按有关规定处理，保障职称评审公平公正。对于职称申报评审过程中弄虚作假的人员，各地、各部门（单位）要严格按照国家和省有关规定进行处理。其中，涉嫌违规违纪的，按照管理权限和有关规定予以核查处理；涉嫌违法犯罪的，移送公安、司法机关处理。</w:t>
      </w:r>
    </w:p>
    <w:p w14:paraId="522206E4">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eastAsia"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w:t>
      </w:r>
      <w:r>
        <w:rPr>
          <w:rFonts w:hint="eastAsia" w:ascii="Times New Roman" w:hAnsi="Times New Roman" w:eastAsia="楷体_GB2312" w:cs="Times New Roman"/>
          <w:color w:val="auto"/>
          <w:sz w:val="32"/>
          <w:szCs w:val="32"/>
          <w:highlight w:val="none"/>
          <w:lang w:val="en-US" w:eastAsia="zh-CN"/>
        </w:rPr>
        <w:t>二</w:t>
      </w:r>
      <w:r>
        <w:rPr>
          <w:rFonts w:hint="default" w:ascii="Times New Roman" w:hAnsi="Times New Roman" w:eastAsia="楷体_GB2312" w:cs="Times New Roman"/>
          <w:color w:val="auto"/>
          <w:sz w:val="32"/>
          <w:szCs w:val="32"/>
          <w:highlight w:val="none"/>
        </w:rPr>
        <w:t>）强化责任追究。</w:t>
      </w:r>
      <w:r>
        <w:rPr>
          <w:rFonts w:hint="eastAsia" w:ascii="Times New Roman" w:hAnsi="Times New Roman" w:eastAsia="仿宋_GB2312" w:cs="Times New Roman"/>
          <w:color w:val="auto"/>
          <w:sz w:val="32"/>
          <w:szCs w:val="32"/>
          <w:highlight w:val="none"/>
        </w:rPr>
        <w:t>用人单位负责审查申报材料的合法性、真实性、完整性和有效性，并组织推荐；主管部门审查申报条件和申报程序等；呈报部门负责审核申报材料手续是否完备，内容是否齐全；评审委员会办事机构负责指导本系列（专业）职称申报和材料审核工作，做好评审前材料分类整理、准备工作和评审委员会评审组织服务工作；评审委员会具体负责标准条件、工作程序、评审质量；职称管理部门负责对职称评审工作的综合管理和监督检查。对职称申报、推荐、评审等各环节要严格实行“谁审核，谁负责”的管理责任制，对发现问题的依法依规追究有关人员的责任。主管部门、呈报部门、评审委员会办事机构对提交的申报材料，发现其审核不认真或者违反评审政策、违反评审程序的，可以采取通报的方式，指出相关单位工作失误，提出整改意见。被通报单位拒不改正，影响评审材料按时申报或者评委会如期开评的，按照国家及我省有关职称评审规定，严肃处理。</w:t>
      </w:r>
    </w:p>
    <w:p w14:paraId="03ADC214">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w:t>
      </w:r>
      <w:r>
        <w:rPr>
          <w:rFonts w:hint="eastAsia" w:ascii="Times New Roman" w:hAnsi="Times New Roman" w:eastAsia="楷体_GB2312" w:cs="Times New Roman"/>
          <w:color w:val="auto"/>
          <w:sz w:val="32"/>
          <w:szCs w:val="32"/>
          <w:highlight w:val="none"/>
          <w:lang w:val="en-US" w:eastAsia="zh-CN"/>
        </w:rPr>
        <w:t>三</w:t>
      </w:r>
      <w:r>
        <w:rPr>
          <w:rFonts w:hint="default" w:ascii="Times New Roman" w:hAnsi="Times New Roman" w:eastAsia="楷体_GB2312" w:cs="Times New Roman"/>
          <w:color w:val="auto"/>
          <w:sz w:val="32"/>
          <w:szCs w:val="32"/>
          <w:highlight w:val="none"/>
        </w:rPr>
        <w:t>）严格专业技术职务资格评审收费。</w:t>
      </w:r>
      <w:r>
        <w:rPr>
          <w:rFonts w:hint="default" w:ascii="Times New Roman" w:hAnsi="Times New Roman" w:eastAsia="仿宋_GB2312" w:cs="Times New Roman"/>
          <w:color w:val="auto"/>
          <w:sz w:val="32"/>
          <w:szCs w:val="32"/>
          <w:highlight w:val="none"/>
        </w:rPr>
        <w:t>按照《关于改革专业技术职务资格评审收费有关问题的通知》（鲁</w:t>
      </w:r>
      <w:r>
        <w:rPr>
          <w:rFonts w:hint="default" w:ascii="Times New Roman" w:hAnsi="Times New Roman" w:eastAsia="仿宋_GB2312" w:cs="Times New Roman"/>
          <w:color w:val="auto"/>
          <w:sz w:val="32"/>
          <w:szCs w:val="32"/>
          <w:highlight w:val="none"/>
          <w:lang w:eastAsia="zh-CN"/>
        </w:rPr>
        <w:t>发改成本</w:t>
      </w: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638</w:t>
      </w:r>
      <w:r>
        <w:rPr>
          <w:rFonts w:hint="default" w:ascii="Times New Roman" w:hAnsi="Times New Roman" w:eastAsia="仿宋_GB2312" w:cs="Times New Roman"/>
          <w:color w:val="auto"/>
          <w:sz w:val="32"/>
          <w:szCs w:val="32"/>
          <w:highlight w:val="none"/>
        </w:rPr>
        <w:t>号）规定，申报评审初、中、高级专业技术职务资格收费分别为每人次100元、160元、360元，不得以任何名义增加收费项目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各评委会办事机构所在部门要通过</w:t>
      </w:r>
      <w:r>
        <w:rPr>
          <w:rFonts w:hint="eastAsia" w:ascii="Times New Roman" w:hAnsi="Times New Roman" w:eastAsia="仿宋_GB2312" w:cs="Times New Roman"/>
          <w:color w:val="auto"/>
          <w:sz w:val="32"/>
          <w:szCs w:val="32"/>
          <w:highlight w:val="none"/>
          <w:lang w:eastAsia="zh-CN"/>
        </w:rPr>
        <w:t>“山东省非税收入征收和财政票据管理系统”</w:t>
      </w:r>
      <w:r>
        <w:rPr>
          <w:rFonts w:hint="default" w:ascii="Times New Roman" w:hAnsi="Times New Roman" w:eastAsia="仿宋_GB2312" w:cs="Times New Roman"/>
          <w:color w:val="auto"/>
          <w:sz w:val="32"/>
          <w:szCs w:val="32"/>
          <w:highlight w:val="none"/>
        </w:rPr>
        <w:t>征收，全部缴入财政，实行</w:t>
      </w:r>
      <w:r>
        <w:rPr>
          <w:rFonts w:hint="eastAsia" w:ascii="Times New Roman" w:hAnsi="Times New Roman" w:eastAsia="仿宋_GB2312" w:cs="Times New Roman"/>
          <w:color w:val="auto"/>
          <w:sz w:val="32"/>
          <w:szCs w:val="32"/>
          <w:highlight w:val="none"/>
          <w:lang w:eastAsia="zh-CN"/>
        </w:rPr>
        <w:t>“收支两条线管理”</w:t>
      </w:r>
      <w:r>
        <w:rPr>
          <w:rFonts w:hint="default" w:ascii="Times New Roman" w:hAnsi="Times New Roman" w:eastAsia="仿宋_GB2312" w:cs="Times New Roman"/>
          <w:color w:val="auto"/>
          <w:sz w:val="32"/>
          <w:szCs w:val="32"/>
          <w:highlight w:val="none"/>
        </w:rPr>
        <w:t>。</w:t>
      </w:r>
    </w:p>
    <w:p w14:paraId="0683BA0D">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firstLine="616" w:firstLineChars="200"/>
        <w:jc w:val="both"/>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auto"/>
          <w:spacing w:val="-6"/>
          <w:sz w:val="32"/>
          <w:szCs w:val="32"/>
          <w:highlight w:val="none"/>
          <w:lang w:eastAsia="zh-CN"/>
        </w:rPr>
        <w:t>此公告</w:t>
      </w:r>
      <w:r>
        <w:rPr>
          <w:rFonts w:hint="default" w:ascii="Times New Roman" w:hAnsi="Times New Roman" w:eastAsia="仿宋_GB2312" w:cs="Times New Roman"/>
          <w:color w:val="auto"/>
          <w:spacing w:val="-6"/>
          <w:sz w:val="32"/>
          <w:szCs w:val="32"/>
          <w:highlight w:val="none"/>
        </w:rPr>
        <w:t>未尽事</w:t>
      </w:r>
      <w:r>
        <w:rPr>
          <w:rFonts w:hint="default" w:ascii="Times New Roman" w:hAnsi="Times New Roman" w:eastAsia="仿宋_GB2312" w:cs="Times New Roman"/>
          <w:color w:val="auto"/>
          <w:sz w:val="32"/>
          <w:szCs w:val="32"/>
          <w:highlight w:val="none"/>
        </w:rPr>
        <w:t>宜，</w:t>
      </w:r>
      <w:r>
        <w:rPr>
          <w:rFonts w:hint="default" w:ascii="Times New Roman" w:hAnsi="Times New Roman" w:eastAsia="仿宋_GB2312" w:cs="Times New Roman"/>
          <w:color w:val="000000"/>
          <w:sz w:val="32"/>
          <w:szCs w:val="32"/>
          <w:highlight w:val="none"/>
        </w:rPr>
        <w:t>按照国家和省现行职称政策执行。工作过程中，如遇其他重大政策调整，按新的政策执行。</w:t>
      </w:r>
    </w:p>
    <w:p w14:paraId="4F1FC839">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p>
    <w:p w14:paraId="1B8B9A8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附件：1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pacing w:val="-11"/>
          <w:sz w:val="32"/>
          <w:szCs w:val="32"/>
          <w:highlight w:val="none"/>
          <w:lang w:eastAsia="zh-CN"/>
        </w:rPr>
        <w:t>部分职称评审相关政策文件和现行职称评价标准名录</w:t>
      </w:r>
    </w:p>
    <w:p w14:paraId="7D2B08E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1916" w:leftChars="760" w:hanging="320" w:hangingChars="1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年度滕州市专业技术职务资格中级评审委员会名单</w:t>
      </w:r>
    </w:p>
    <w:p w14:paraId="7D646D9D">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1916" w:leftChars="760" w:hanging="320" w:hangingChars="1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年度滕州市专业技术职务资格初级评审委员会名单</w:t>
      </w:r>
    </w:p>
    <w:p w14:paraId="62F4D2F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1600" w:firstLineChars="5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pacing w:val="-6"/>
          <w:sz w:val="32"/>
          <w:szCs w:val="32"/>
          <w:highlight w:val="none"/>
          <w:lang w:val="en-US" w:eastAsia="zh-CN"/>
        </w:rPr>
        <w:t>关</w:t>
      </w:r>
      <w:r>
        <w:rPr>
          <w:rFonts w:hint="default" w:ascii="Times New Roman" w:hAnsi="Times New Roman" w:eastAsia="仿宋_GB2312" w:cs="Times New Roman"/>
          <w:color w:val="auto"/>
          <w:spacing w:val="-11"/>
          <w:sz w:val="32"/>
          <w:szCs w:val="32"/>
          <w:highlight w:val="none"/>
          <w:lang w:val="en-US" w:eastAsia="zh-CN"/>
        </w:rPr>
        <w:t>于申报程序、报送材料及系统填报有关问题的说明</w:t>
      </w:r>
      <w:r>
        <w:rPr>
          <w:rFonts w:hint="default" w:ascii="Times New Roman" w:hAnsi="Times New Roman" w:eastAsia="仿宋_GB2312" w:cs="Times New Roman"/>
          <w:color w:val="auto"/>
          <w:spacing w:val="-11"/>
          <w:sz w:val="32"/>
          <w:szCs w:val="32"/>
          <w:highlight w:val="none"/>
        </w:rPr>
        <w:t xml:space="preserve"> </w:t>
      </w:r>
    </w:p>
    <w:p w14:paraId="53B78435">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firstLine="1600" w:firstLineChars="500"/>
        <w:jc w:val="both"/>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5.职称评审常用表格</w:t>
      </w:r>
      <w:r>
        <w:rPr>
          <w:rFonts w:hint="default" w:ascii="Times New Roman" w:hAnsi="Times New Roman" w:eastAsia="仿宋_GB2312" w:cs="Times New Roman"/>
          <w:color w:val="auto"/>
          <w:sz w:val="32"/>
          <w:szCs w:val="32"/>
          <w:highlight w:val="none"/>
        </w:rPr>
        <w:t xml:space="preserve">           </w:t>
      </w:r>
    </w:p>
    <w:p w14:paraId="1AEBBD71">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p>
    <w:p w14:paraId="4F7F625B">
      <w:pPr>
        <w:keepNext w:val="0"/>
        <w:keepLines w:val="0"/>
        <w:pageBreakBefore w:val="0"/>
        <w:widowControl w:val="0"/>
        <w:kinsoku/>
        <w:wordWrap/>
        <w:overflowPunct w:val="0"/>
        <w:topLinePunct/>
        <w:autoSpaceDE w:val="0"/>
        <w:autoSpaceDN/>
        <w:bidi w:val="0"/>
        <w:adjustRightInd/>
        <w:snapToGrid/>
        <w:spacing w:beforeAutospacing="0" w:afterAutospacing="0" w:line="580" w:lineRule="exact"/>
        <w:ind w:left="0" w:leftChars="0" w:firstLine="640" w:firstLineChars="200"/>
        <w:jc w:val="both"/>
        <w:textAlignment w:val="auto"/>
        <w:outlineLvl w:val="9"/>
        <w:rPr>
          <w:rFonts w:hint="default" w:ascii="Times New Roman" w:hAnsi="Times New Roman" w:eastAsia="仿宋_GB2312" w:cs="Times New Roman"/>
          <w:color w:val="auto"/>
          <w:sz w:val="32"/>
          <w:szCs w:val="32"/>
          <w:highlight w:val="none"/>
        </w:rPr>
      </w:pPr>
    </w:p>
    <w:p w14:paraId="75F808D3">
      <w:pPr>
        <w:keepNext w:val="0"/>
        <w:keepLines w:val="0"/>
        <w:pageBreakBefore w:val="0"/>
        <w:widowControl w:val="0"/>
        <w:kinsoku/>
        <w:wordWrap w:val="0"/>
        <w:overflowPunct w:val="0"/>
        <w:topLinePunct/>
        <w:autoSpaceDE w:val="0"/>
        <w:autoSpaceDN/>
        <w:bidi w:val="0"/>
        <w:adjustRightInd/>
        <w:snapToGrid/>
        <w:spacing w:beforeAutospacing="0" w:afterAutospacing="0" w:line="580" w:lineRule="exact"/>
        <w:ind w:left="0" w:leftChars="0" w:firstLine="640" w:firstLineChars="200"/>
        <w:jc w:val="right"/>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lang w:val="en-US" w:eastAsia="zh-CN"/>
        </w:rPr>
        <w:t>滕州</w:t>
      </w:r>
      <w:r>
        <w:rPr>
          <w:rFonts w:hint="default" w:ascii="Times New Roman" w:hAnsi="Times New Roman" w:eastAsia="仿宋_GB2312" w:cs="Times New Roman"/>
          <w:color w:val="auto"/>
          <w:sz w:val="32"/>
          <w:szCs w:val="32"/>
          <w:highlight w:val="none"/>
        </w:rPr>
        <w:t>市人力资源和社会保障局</w:t>
      </w:r>
    </w:p>
    <w:p w14:paraId="320558A7">
      <w:pPr>
        <w:keepNext w:val="0"/>
        <w:keepLines w:val="0"/>
        <w:pageBreakBefore w:val="0"/>
        <w:widowControl w:val="0"/>
        <w:kinsoku/>
        <w:wordWrap w:val="0"/>
        <w:overflowPunct w:val="0"/>
        <w:topLinePunct/>
        <w:autoSpaceDE w:val="0"/>
        <w:autoSpaceDN/>
        <w:bidi w:val="0"/>
        <w:adjustRightInd/>
        <w:snapToGrid/>
        <w:spacing w:beforeAutospacing="0" w:afterAutospacing="0" w:line="580" w:lineRule="exact"/>
        <w:ind w:left="0" w:leftChars="0" w:firstLine="640" w:firstLineChars="200"/>
        <w:jc w:val="right"/>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13</w:t>
      </w:r>
      <w:r>
        <w:rPr>
          <w:rFonts w:hint="default" w:ascii="Times New Roman" w:hAnsi="Times New Roman" w:eastAsia="仿宋_GB2312" w:cs="Times New Roman"/>
          <w:color w:val="auto"/>
          <w:sz w:val="32"/>
          <w:szCs w:val="32"/>
          <w:highlight w:val="none"/>
        </w:rPr>
        <w:t>日</w:t>
      </w:r>
      <w:r>
        <w:rPr>
          <w:rFonts w:hint="default" w:ascii="Times New Roman" w:hAnsi="Times New Roman" w:eastAsia="仿宋_GB2312" w:cs="Times New Roman"/>
          <w:color w:val="auto"/>
          <w:sz w:val="32"/>
          <w:szCs w:val="32"/>
          <w:highlight w:val="none"/>
          <w:lang w:val="en-US" w:eastAsia="zh-CN"/>
        </w:rPr>
        <w:t xml:space="preserve">    </w:t>
      </w:r>
    </w:p>
    <w:sectPr>
      <w:headerReference r:id="rId3" w:type="default"/>
      <w:footerReference r:id="rId4" w:type="default"/>
      <w:pgSz w:w="11905" w:h="16838"/>
      <w:pgMar w:top="1984" w:right="1474" w:bottom="1984" w:left="1474" w:header="850" w:footer="1417" w:gutter="0"/>
      <w:pgBorders>
        <w:top w:val="none" w:sz="0" w:space="0"/>
        <w:left w:val="none" w:sz="0" w:space="0"/>
        <w:bottom w:val="none" w:sz="0" w:space="0"/>
        <w:right w:val="none" w:sz="0" w:space="0"/>
      </w:pgBorders>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altName w:val="Liberation Sans Narrow"/>
    <w:panose1 w:val="020B0609020204030204"/>
    <w:charset w:val="00"/>
    <w:family w:val="auto"/>
    <w:pitch w:val="default"/>
    <w:sig w:usb0="00000000" w:usb1="00000000" w:usb2="00000001" w:usb3="00000000" w:csb0="6000019F" w:csb1="DFD70000"/>
  </w:font>
  <w:font w:name="Liberation Sans Narrow">
    <w:panose1 w:val="020B0606020202030204"/>
    <w:charset w:val="00"/>
    <w:family w:val="auto"/>
    <w:pitch w:val="default"/>
    <w:sig w:usb0="A00002AF" w:usb1="500078FB" w:usb2="00000000" w:usb3="00000000" w:csb0="6000009F" w:csb1="DFD70000"/>
  </w:font>
  <w:font w:name="仿宋_GB2312">
    <w:panose1 w:val="02010609030101010101"/>
    <w:charset w:val="86"/>
    <w:family w:val="modern"/>
    <w:pitch w:val="default"/>
    <w:sig w:usb0="00000001" w:usb1="080E0000" w:usb2="00000000" w:usb3="00000000" w:csb0="00040000" w:csb1="00000000"/>
  </w:font>
  <w:font w:name="方正大标宋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A0A87">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766385">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766385">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2D471">
    <w:pPr>
      <w:pBdr>
        <w:bottom w:val="none" w:color="auto" w:sz="0" w:space="0"/>
      </w:pBd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YzAwOWQzMDcxNDEzOTIxNTllYmI2YmI1NDk1ODIifQ=="/>
  </w:docVars>
  <w:rsids>
    <w:rsidRoot w:val="00B60CAF"/>
    <w:rsid w:val="000D1F3C"/>
    <w:rsid w:val="001A340C"/>
    <w:rsid w:val="00357E85"/>
    <w:rsid w:val="003D091C"/>
    <w:rsid w:val="00422B9A"/>
    <w:rsid w:val="00493D51"/>
    <w:rsid w:val="004B42E5"/>
    <w:rsid w:val="00516B98"/>
    <w:rsid w:val="00563EAD"/>
    <w:rsid w:val="006F5926"/>
    <w:rsid w:val="0078768E"/>
    <w:rsid w:val="007F74F9"/>
    <w:rsid w:val="00805CF4"/>
    <w:rsid w:val="008140DB"/>
    <w:rsid w:val="00825F55"/>
    <w:rsid w:val="00857155"/>
    <w:rsid w:val="008B4129"/>
    <w:rsid w:val="009040EE"/>
    <w:rsid w:val="00920096"/>
    <w:rsid w:val="00972FBB"/>
    <w:rsid w:val="009D5A3E"/>
    <w:rsid w:val="009E1B47"/>
    <w:rsid w:val="009F4C1B"/>
    <w:rsid w:val="00A72D45"/>
    <w:rsid w:val="00AA0F59"/>
    <w:rsid w:val="00B352B5"/>
    <w:rsid w:val="00B514BA"/>
    <w:rsid w:val="00B60CAF"/>
    <w:rsid w:val="00BC06DD"/>
    <w:rsid w:val="00BE1F19"/>
    <w:rsid w:val="00C0304B"/>
    <w:rsid w:val="00C11F33"/>
    <w:rsid w:val="00C349D9"/>
    <w:rsid w:val="00C7347E"/>
    <w:rsid w:val="00CE3CB9"/>
    <w:rsid w:val="00D1627A"/>
    <w:rsid w:val="00D22561"/>
    <w:rsid w:val="00D648DF"/>
    <w:rsid w:val="00D95FF7"/>
    <w:rsid w:val="00E15234"/>
    <w:rsid w:val="00E33D5F"/>
    <w:rsid w:val="00EF2BA4"/>
    <w:rsid w:val="00FF65CC"/>
    <w:rsid w:val="012147F4"/>
    <w:rsid w:val="01225FA9"/>
    <w:rsid w:val="0197421D"/>
    <w:rsid w:val="01DF4F63"/>
    <w:rsid w:val="01ED46A8"/>
    <w:rsid w:val="020D4CF6"/>
    <w:rsid w:val="02AC27D4"/>
    <w:rsid w:val="02CD5A96"/>
    <w:rsid w:val="03791753"/>
    <w:rsid w:val="03A358F4"/>
    <w:rsid w:val="04345F9E"/>
    <w:rsid w:val="045661DD"/>
    <w:rsid w:val="046917C8"/>
    <w:rsid w:val="04986759"/>
    <w:rsid w:val="04F1598C"/>
    <w:rsid w:val="04FA2EFF"/>
    <w:rsid w:val="050065F7"/>
    <w:rsid w:val="05334E5C"/>
    <w:rsid w:val="05445E58"/>
    <w:rsid w:val="054B2210"/>
    <w:rsid w:val="056C3838"/>
    <w:rsid w:val="057C7F86"/>
    <w:rsid w:val="06456265"/>
    <w:rsid w:val="065A70E6"/>
    <w:rsid w:val="06FE18ED"/>
    <w:rsid w:val="07086EF3"/>
    <w:rsid w:val="072437AD"/>
    <w:rsid w:val="07440000"/>
    <w:rsid w:val="075E4024"/>
    <w:rsid w:val="07680BE0"/>
    <w:rsid w:val="078578D4"/>
    <w:rsid w:val="07A83001"/>
    <w:rsid w:val="0874698D"/>
    <w:rsid w:val="08760957"/>
    <w:rsid w:val="08816B15"/>
    <w:rsid w:val="08D44DEC"/>
    <w:rsid w:val="08D64AA1"/>
    <w:rsid w:val="09452C33"/>
    <w:rsid w:val="09874BFB"/>
    <w:rsid w:val="09C75E5E"/>
    <w:rsid w:val="0A096022"/>
    <w:rsid w:val="0A250CF6"/>
    <w:rsid w:val="0A4A4E32"/>
    <w:rsid w:val="0ACB7B17"/>
    <w:rsid w:val="0B3A2110"/>
    <w:rsid w:val="0B8909A2"/>
    <w:rsid w:val="0BAF54B1"/>
    <w:rsid w:val="0BD64367"/>
    <w:rsid w:val="0C2A7464"/>
    <w:rsid w:val="0C8A3DD5"/>
    <w:rsid w:val="0CAE1114"/>
    <w:rsid w:val="0CAF61E6"/>
    <w:rsid w:val="0CBD4DA7"/>
    <w:rsid w:val="0CD44C81"/>
    <w:rsid w:val="0D0C5AE5"/>
    <w:rsid w:val="0D1870D5"/>
    <w:rsid w:val="0D485877"/>
    <w:rsid w:val="0DA653E7"/>
    <w:rsid w:val="0DAC41B8"/>
    <w:rsid w:val="0DD66EBB"/>
    <w:rsid w:val="0DEE39B4"/>
    <w:rsid w:val="0E32562F"/>
    <w:rsid w:val="0E440BB0"/>
    <w:rsid w:val="0F04132A"/>
    <w:rsid w:val="0F205B44"/>
    <w:rsid w:val="0F5258A1"/>
    <w:rsid w:val="0F541C19"/>
    <w:rsid w:val="0F8874DA"/>
    <w:rsid w:val="0FE66EBB"/>
    <w:rsid w:val="100B1C39"/>
    <w:rsid w:val="10343F2E"/>
    <w:rsid w:val="10A036D6"/>
    <w:rsid w:val="10EE17CE"/>
    <w:rsid w:val="11391602"/>
    <w:rsid w:val="1164046B"/>
    <w:rsid w:val="11B02211"/>
    <w:rsid w:val="11BC760E"/>
    <w:rsid w:val="11C40985"/>
    <w:rsid w:val="11E40291"/>
    <w:rsid w:val="11FC70CC"/>
    <w:rsid w:val="1204725A"/>
    <w:rsid w:val="129906A9"/>
    <w:rsid w:val="133369AC"/>
    <w:rsid w:val="13393EDA"/>
    <w:rsid w:val="13D73D46"/>
    <w:rsid w:val="13DA1FC3"/>
    <w:rsid w:val="13F72496"/>
    <w:rsid w:val="14A7073D"/>
    <w:rsid w:val="14A81F78"/>
    <w:rsid w:val="14C30A80"/>
    <w:rsid w:val="14ED01F3"/>
    <w:rsid w:val="14F37353"/>
    <w:rsid w:val="15296D12"/>
    <w:rsid w:val="154E03E8"/>
    <w:rsid w:val="156448AF"/>
    <w:rsid w:val="15782D37"/>
    <w:rsid w:val="15BB0E5E"/>
    <w:rsid w:val="15F22096"/>
    <w:rsid w:val="15FD7FC2"/>
    <w:rsid w:val="16323FF9"/>
    <w:rsid w:val="167505CF"/>
    <w:rsid w:val="16781E6E"/>
    <w:rsid w:val="16BB7512"/>
    <w:rsid w:val="170F26A3"/>
    <w:rsid w:val="175171EC"/>
    <w:rsid w:val="17681DA0"/>
    <w:rsid w:val="17A70F21"/>
    <w:rsid w:val="17D86F39"/>
    <w:rsid w:val="187F60E6"/>
    <w:rsid w:val="189C6B1B"/>
    <w:rsid w:val="18D21BDA"/>
    <w:rsid w:val="19744A3F"/>
    <w:rsid w:val="197E58BE"/>
    <w:rsid w:val="1A1C4DD9"/>
    <w:rsid w:val="1A200723"/>
    <w:rsid w:val="1A41201A"/>
    <w:rsid w:val="1A6F7DFE"/>
    <w:rsid w:val="1A8872F6"/>
    <w:rsid w:val="1A9B5FFB"/>
    <w:rsid w:val="1B776288"/>
    <w:rsid w:val="1B9118D8"/>
    <w:rsid w:val="1BD52F03"/>
    <w:rsid w:val="1BFC39CC"/>
    <w:rsid w:val="1C0025BA"/>
    <w:rsid w:val="1C197B20"/>
    <w:rsid w:val="1C8B048D"/>
    <w:rsid w:val="1CDC4933"/>
    <w:rsid w:val="1D5E258F"/>
    <w:rsid w:val="1D6923CE"/>
    <w:rsid w:val="1D8808E8"/>
    <w:rsid w:val="1DAD01D0"/>
    <w:rsid w:val="1DD953A8"/>
    <w:rsid w:val="1E043232"/>
    <w:rsid w:val="1E751D37"/>
    <w:rsid w:val="1E920C86"/>
    <w:rsid w:val="1E9C0269"/>
    <w:rsid w:val="1EA03E4C"/>
    <w:rsid w:val="1EAD0774"/>
    <w:rsid w:val="1F1C07EC"/>
    <w:rsid w:val="1F3757B3"/>
    <w:rsid w:val="1FF31573"/>
    <w:rsid w:val="20546542"/>
    <w:rsid w:val="20547378"/>
    <w:rsid w:val="209B17A7"/>
    <w:rsid w:val="20E04321"/>
    <w:rsid w:val="21125799"/>
    <w:rsid w:val="21216669"/>
    <w:rsid w:val="213A47C0"/>
    <w:rsid w:val="214F7CD0"/>
    <w:rsid w:val="215E216C"/>
    <w:rsid w:val="219655FF"/>
    <w:rsid w:val="21B52099"/>
    <w:rsid w:val="21BA0C17"/>
    <w:rsid w:val="21C7411C"/>
    <w:rsid w:val="22240E0A"/>
    <w:rsid w:val="222F3879"/>
    <w:rsid w:val="22EE546D"/>
    <w:rsid w:val="230B05FC"/>
    <w:rsid w:val="230B5155"/>
    <w:rsid w:val="23442C90"/>
    <w:rsid w:val="23983976"/>
    <w:rsid w:val="23BB0F5E"/>
    <w:rsid w:val="24527A97"/>
    <w:rsid w:val="2463064C"/>
    <w:rsid w:val="24646761"/>
    <w:rsid w:val="246B2F92"/>
    <w:rsid w:val="24702DBF"/>
    <w:rsid w:val="24BD1E1E"/>
    <w:rsid w:val="24E36A2A"/>
    <w:rsid w:val="24FA6ADD"/>
    <w:rsid w:val="25094FEF"/>
    <w:rsid w:val="2515072C"/>
    <w:rsid w:val="254521BE"/>
    <w:rsid w:val="25594900"/>
    <w:rsid w:val="25BD1C2B"/>
    <w:rsid w:val="25BE6C58"/>
    <w:rsid w:val="25DE5809"/>
    <w:rsid w:val="262D176D"/>
    <w:rsid w:val="26562E8D"/>
    <w:rsid w:val="270C14C5"/>
    <w:rsid w:val="270F1FDD"/>
    <w:rsid w:val="272E0DEC"/>
    <w:rsid w:val="275105C0"/>
    <w:rsid w:val="275670FF"/>
    <w:rsid w:val="275A0A49"/>
    <w:rsid w:val="27620DD8"/>
    <w:rsid w:val="27DD194F"/>
    <w:rsid w:val="28094EEC"/>
    <w:rsid w:val="28772BE3"/>
    <w:rsid w:val="28773780"/>
    <w:rsid w:val="28E76A78"/>
    <w:rsid w:val="294E1843"/>
    <w:rsid w:val="299A0AB7"/>
    <w:rsid w:val="2A1C6331"/>
    <w:rsid w:val="2A486018"/>
    <w:rsid w:val="2A7B1BCA"/>
    <w:rsid w:val="2AA809EC"/>
    <w:rsid w:val="2AAC3528"/>
    <w:rsid w:val="2AF12EE7"/>
    <w:rsid w:val="2B2769F4"/>
    <w:rsid w:val="2B2804EA"/>
    <w:rsid w:val="2B5A0144"/>
    <w:rsid w:val="2B830966"/>
    <w:rsid w:val="2BC04C98"/>
    <w:rsid w:val="2C0159AA"/>
    <w:rsid w:val="2C3A26E7"/>
    <w:rsid w:val="2C8C63B5"/>
    <w:rsid w:val="2CC969F8"/>
    <w:rsid w:val="2CE13D42"/>
    <w:rsid w:val="2CFE797A"/>
    <w:rsid w:val="2D254FDE"/>
    <w:rsid w:val="2D2D7A37"/>
    <w:rsid w:val="2D414068"/>
    <w:rsid w:val="2D6A7F4C"/>
    <w:rsid w:val="2DA84860"/>
    <w:rsid w:val="2DD8302F"/>
    <w:rsid w:val="2DEA1068"/>
    <w:rsid w:val="2E083213"/>
    <w:rsid w:val="2E501479"/>
    <w:rsid w:val="2E666F6E"/>
    <w:rsid w:val="2E7C5066"/>
    <w:rsid w:val="2E8C7518"/>
    <w:rsid w:val="2E9E2F03"/>
    <w:rsid w:val="2EDB3503"/>
    <w:rsid w:val="2EEF4086"/>
    <w:rsid w:val="2EFC2656"/>
    <w:rsid w:val="2F071093"/>
    <w:rsid w:val="2F0C6991"/>
    <w:rsid w:val="2F331A31"/>
    <w:rsid w:val="2F594D35"/>
    <w:rsid w:val="2F6C6B72"/>
    <w:rsid w:val="2FA14FB2"/>
    <w:rsid w:val="2FA369DB"/>
    <w:rsid w:val="30210AA7"/>
    <w:rsid w:val="302C048C"/>
    <w:rsid w:val="305320C6"/>
    <w:rsid w:val="3068066C"/>
    <w:rsid w:val="3089115D"/>
    <w:rsid w:val="30D616E4"/>
    <w:rsid w:val="30F84879"/>
    <w:rsid w:val="31120AB3"/>
    <w:rsid w:val="31380F50"/>
    <w:rsid w:val="31487C8E"/>
    <w:rsid w:val="3168429C"/>
    <w:rsid w:val="3180757A"/>
    <w:rsid w:val="3195334D"/>
    <w:rsid w:val="31BD3E31"/>
    <w:rsid w:val="31DA2BEF"/>
    <w:rsid w:val="31FC3383"/>
    <w:rsid w:val="32055A22"/>
    <w:rsid w:val="32736B89"/>
    <w:rsid w:val="32D7408D"/>
    <w:rsid w:val="33224F6A"/>
    <w:rsid w:val="33A86CC9"/>
    <w:rsid w:val="33B95A18"/>
    <w:rsid w:val="3434509F"/>
    <w:rsid w:val="343B1634"/>
    <w:rsid w:val="343B606F"/>
    <w:rsid w:val="34435A02"/>
    <w:rsid w:val="347D56C2"/>
    <w:rsid w:val="34854690"/>
    <w:rsid w:val="348F1A15"/>
    <w:rsid w:val="34946AA5"/>
    <w:rsid w:val="34971610"/>
    <w:rsid w:val="349B2699"/>
    <w:rsid w:val="34D15C56"/>
    <w:rsid w:val="35011425"/>
    <w:rsid w:val="35144245"/>
    <w:rsid w:val="35170AB4"/>
    <w:rsid w:val="353924AC"/>
    <w:rsid w:val="35F76A37"/>
    <w:rsid w:val="36017D80"/>
    <w:rsid w:val="360474EE"/>
    <w:rsid w:val="36745C27"/>
    <w:rsid w:val="36FF243F"/>
    <w:rsid w:val="370621EB"/>
    <w:rsid w:val="372C235B"/>
    <w:rsid w:val="37492C0F"/>
    <w:rsid w:val="37C4090B"/>
    <w:rsid w:val="37CA1D27"/>
    <w:rsid w:val="37ED11C9"/>
    <w:rsid w:val="37F0436C"/>
    <w:rsid w:val="386922F8"/>
    <w:rsid w:val="38736485"/>
    <w:rsid w:val="388D1229"/>
    <w:rsid w:val="38C92B4B"/>
    <w:rsid w:val="39EA4005"/>
    <w:rsid w:val="3A105B17"/>
    <w:rsid w:val="3A5A72CC"/>
    <w:rsid w:val="3A6C5593"/>
    <w:rsid w:val="3AC56A51"/>
    <w:rsid w:val="3AD8138A"/>
    <w:rsid w:val="3B1A4233"/>
    <w:rsid w:val="3B1C6B6D"/>
    <w:rsid w:val="3B432A99"/>
    <w:rsid w:val="3B5F55FA"/>
    <w:rsid w:val="3B7C4A44"/>
    <w:rsid w:val="3B827442"/>
    <w:rsid w:val="3BAE600C"/>
    <w:rsid w:val="3BDE015C"/>
    <w:rsid w:val="3C145EE2"/>
    <w:rsid w:val="3C196AEE"/>
    <w:rsid w:val="3C9818D5"/>
    <w:rsid w:val="3CCC3D1F"/>
    <w:rsid w:val="3D0425E0"/>
    <w:rsid w:val="3D10798E"/>
    <w:rsid w:val="3D3D3216"/>
    <w:rsid w:val="3D591937"/>
    <w:rsid w:val="3D646892"/>
    <w:rsid w:val="3D804EB1"/>
    <w:rsid w:val="3D996B64"/>
    <w:rsid w:val="3DA96A70"/>
    <w:rsid w:val="3DDA3E28"/>
    <w:rsid w:val="3E6C3B88"/>
    <w:rsid w:val="3E9443F0"/>
    <w:rsid w:val="3E9D385B"/>
    <w:rsid w:val="3EC17490"/>
    <w:rsid w:val="3EC52377"/>
    <w:rsid w:val="3EF64EA8"/>
    <w:rsid w:val="3F227904"/>
    <w:rsid w:val="3F591F96"/>
    <w:rsid w:val="3FF22C1F"/>
    <w:rsid w:val="4011773C"/>
    <w:rsid w:val="401D3A9E"/>
    <w:rsid w:val="40612931"/>
    <w:rsid w:val="406D3E12"/>
    <w:rsid w:val="408E3784"/>
    <w:rsid w:val="40F833EB"/>
    <w:rsid w:val="41152A58"/>
    <w:rsid w:val="419776B6"/>
    <w:rsid w:val="41CB5AA5"/>
    <w:rsid w:val="41EFE51F"/>
    <w:rsid w:val="42416CF7"/>
    <w:rsid w:val="426659E6"/>
    <w:rsid w:val="42B91FFD"/>
    <w:rsid w:val="42C84606"/>
    <w:rsid w:val="42F228EE"/>
    <w:rsid w:val="43233B3C"/>
    <w:rsid w:val="43A50061"/>
    <w:rsid w:val="440F09D3"/>
    <w:rsid w:val="44881ACF"/>
    <w:rsid w:val="44C76DAC"/>
    <w:rsid w:val="44E93C84"/>
    <w:rsid w:val="44EA2AB7"/>
    <w:rsid w:val="44F61242"/>
    <w:rsid w:val="450E35BB"/>
    <w:rsid w:val="4519777D"/>
    <w:rsid w:val="45425A76"/>
    <w:rsid w:val="45535D39"/>
    <w:rsid w:val="4576449D"/>
    <w:rsid w:val="45B222C8"/>
    <w:rsid w:val="45D30A57"/>
    <w:rsid w:val="45DB6067"/>
    <w:rsid w:val="460B58B5"/>
    <w:rsid w:val="46780E0C"/>
    <w:rsid w:val="468E1127"/>
    <w:rsid w:val="46941084"/>
    <w:rsid w:val="46D93CA9"/>
    <w:rsid w:val="477C642C"/>
    <w:rsid w:val="47C02A7A"/>
    <w:rsid w:val="489D4CF8"/>
    <w:rsid w:val="48AB1789"/>
    <w:rsid w:val="48B6212D"/>
    <w:rsid w:val="48D12A65"/>
    <w:rsid w:val="49007A33"/>
    <w:rsid w:val="492434DC"/>
    <w:rsid w:val="492B486B"/>
    <w:rsid w:val="49361C47"/>
    <w:rsid w:val="494169B7"/>
    <w:rsid w:val="49B303BC"/>
    <w:rsid w:val="49E609DE"/>
    <w:rsid w:val="4A612501"/>
    <w:rsid w:val="4ACE077D"/>
    <w:rsid w:val="4B2B474B"/>
    <w:rsid w:val="4B8D3D4F"/>
    <w:rsid w:val="4C554727"/>
    <w:rsid w:val="4C6F4A6E"/>
    <w:rsid w:val="4CDC02DD"/>
    <w:rsid w:val="4CFB2DB1"/>
    <w:rsid w:val="4D1411B9"/>
    <w:rsid w:val="4D282C06"/>
    <w:rsid w:val="4D7B3D47"/>
    <w:rsid w:val="4D951087"/>
    <w:rsid w:val="4DE26689"/>
    <w:rsid w:val="4E010504"/>
    <w:rsid w:val="4E2943FB"/>
    <w:rsid w:val="4E453B7A"/>
    <w:rsid w:val="4E4852CC"/>
    <w:rsid w:val="4E8653AE"/>
    <w:rsid w:val="4EE32143"/>
    <w:rsid w:val="4F3E3AEF"/>
    <w:rsid w:val="4F4D5A86"/>
    <w:rsid w:val="4F701229"/>
    <w:rsid w:val="4F764780"/>
    <w:rsid w:val="4F8566D9"/>
    <w:rsid w:val="4F93316A"/>
    <w:rsid w:val="4FBD050B"/>
    <w:rsid w:val="4FDA2B47"/>
    <w:rsid w:val="4FE57280"/>
    <w:rsid w:val="503E16B0"/>
    <w:rsid w:val="506509DF"/>
    <w:rsid w:val="51354200"/>
    <w:rsid w:val="515B0E6D"/>
    <w:rsid w:val="515E1B91"/>
    <w:rsid w:val="519B6492"/>
    <w:rsid w:val="51A035A2"/>
    <w:rsid w:val="52A42C21"/>
    <w:rsid w:val="52C7076B"/>
    <w:rsid w:val="53221F06"/>
    <w:rsid w:val="53414391"/>
    <w:rsid w:val="53550C58"/>
    <w:rsid w:val="53786502"/>
    <w:rsid w:val="537C486C"/>
    <w:rsid w:val="53937AC2"/>
    <w:rsid w:val="53E93358"/>
    <w:rsid w:val="54097252"/>
    <w:rsid w:val="54244390"/>
    <w:rsid w:val="545E686D"/>
    <w:rsid w:val="548221BA"/>
    <w:rsid w:val="54BB6779"/>
    <w:rsid w:val="5505104D"/>
    <w:rsid w:val="553550EA"/>
    <w:rsid w:val="556C7DFB"/>
    <w:rsid w:val="55A27C63"/>
    <w:rsid w:val="56101070"/>
    <w:rsid w:val="563449AF"/>
    <w:rsid w:val="56350AD7"/>
    <w:rsid w:val="56762052"/>
    <w:rsid w:val="56772E9D"/>
    <w:rsid w:val="567C4958"/>
    <w:rsid w:val="56CC0CE2"/>
    <w:rsid w:val="56E11AA0"/>
    <w:rsid w:val="57022EBF"/>
    <w:rsid w:val="571A7E3C"/>
    <w:rsid w:val="575D38F8"/>
    <w:rsid w:val="580544D9"/>
    <w:rsid w:val="58704048"/>
    <w:rsid w:val="58BB1E47"/>
    <w:rsid w:val="58C75F6A"/>
    <w:rsid w:val="58CD0A34"/>
    <w:rsid w:val="590C5CE8"/>
    <w:rsid w:val="594C61DD"/>
    <w:rsid w:val="59620474"/>
    <w:rsid w:val="59B47CB1"/>
    <w:rsid w:val="59D95C1D"/>
    <w:rsid w:val="5A4620CF"/>
    <w:rsid w:val="5A8A2B74"/>
    <w:rsid w:val="5AB741B0"/>
    <w:rsid w:val="5ACE04F6"/>
    <w:rsid w:val="5B904CDE"/>
    <w:rsid w:val="5BA91CB0"/>
    <w:rsid w:val="5BFD13A2"/>
    <w:rsid w:val="5C687AB2"/>
    <w:rsid w:val="5CD2084E"/>
    <w:rsid w:val="5CF45BCC"/>
    <w:rsid w:val="5CFB07AE"/>
    <w:rsid w:val="5D2B7054"/>
    <w:rsid w:val="5D6264B8"/>
    <w:rsid w:val="5D72653D"/>
    <w:rsid w:val="5D7D55CE"/>
    <w:rsid w:val="5D865C92"/>
    <w:rsid w:val="5DBF0457"/>
    <w:rsid w:val="5E9625D2"/>
    <w:rsid w:val="5EAA432C"/>
    <w:rsid w:val="5EE4309A"/>
    <w:rsid w:val="5F06260B"/>
    <w:rsid w:val="5F2B07E7"/>
    <w:rsid w:val="5F345106"/>
    <w:rsid w:val="5F650A69"/>
    <w:rsid w:val="5F8C56A5"/>
    <w:rsid w:val="5FC2309D"/>
    <w:rsid w:val="5FD27396"/>
    <w:rsid w:val="5FD44EBD"/>
    <w:rsid w:val="5FFF066E"/>
    <w:rsid w:val="6078777B"/>
    <w:rsid w:val="60791F08"/>
    <w:rsid w:val="6083018A"/>
    <w:rsid w:val="608A219B"/>
    <w:rsid w:val="60EE29AD"/>
    <w:rsid w:val="60FA4DF7"/>
    <w:rsid w:val="60FE19A9"/>
    <w:rsid w:val="612F7E5E"/>
    <w:rsid w:val="613279B0"/>
    <w:rsid w:val="61740E6D"/>
    <w:rsid w:val="619108F7"/>
    <w:rsid w:val="61C7170D"/>
    <w:rsid w:val="61F91B31"/>
    <w:rsid w:val="61FC5226"/>
    <w:rsid w:val="61FC5872"/>
    <w:rsid w:val="621B78A5"/>
    <w:rsid w:val="621D330A"/>
    <w:rsid w:val="621E10BE"/>
    <w:rsid w:val="624B63C9"/>
    <w:rsid w:val="62581748"/>
    <w:rsid w:val="62D028DC"/>
    <w:rsid w:val="62D76DDC"/>
    <w:rsid w:val="62F30A38"/>
    <w:rsid w:val="63021653"/>
    <w:rsid w:val="630902C9"/>
    <w:rsid w:val="63302D52"/>
    <w:rsid w:val="633A785B"/>
    <w:rsid w:val="638C19DA"/>
    <w:rsid w:val="63E8362C"/>
    <w:rsid w:val="644B123C"/>
    <w:rsid w:val="64A433B8"/>
    <w:rsid w:val="64B90B25"/>
    <w:rsid w:val="64C97BD3"/>
    <w:rsid w:val="64F2793D"/>
    <w:rsid w:val="6538368F"/>
    <w:rsid w:val="653A6A24"/>
    <w:rsid w:val="65442AE4"/>
    <w:rsid w:val="654761CF"/>
    <w:rsid w:val="656575FA"/>
    <w:rsid w:val="6578278E"/>
    <w:rsid w:val="65863A89"/>
    <w:rsid w:val="659414B5"/>
    <w:rsid w:val="65D07D48"/>
    <w:rsid w:val="66022717"/>
    <w:rsid w:val="661838A5"/>
    <w:rsid w:val="66C90FB5"/>
    <w:rsid w:val="66CB6E96"/>
    <w:rsid w:val="671962F6"/>
    <w:rsid w:val="672648BB"/>
    <w:rsid w:val="6747066A"/>
    <w:rsid w:val="67BC4382"/>
    <w:rsid w:val="67D04F86"/>
    <w:rsid w:val="67ED16EF"/>
    <w:rsid w:val="6827199E"/>
    <w:rsid w:val="68283E47"/>
    <w:rsid w:val="6863511B"/>
    <w:rsid w:val="68727E5B"/>
    <w:rsid w:val="687619A1"/>
    <w:rsid w:val="68A54320"/>
    <w:rsid w:val="68AF7E1F"/>
    <w:rsid w:val="68F06FC5"/>
    <w:rsid w:val="69230C63"/>
    <w:rsid w:val="697E058F"/>
    <w:rsid w:val="6A0B500E"/>
    <w:rsid w:val="6A6B4794"/>
    <w:rsid w:val="6A9A18F7"/>
    <w:rsid w:val="6AB77801"/>
    <w:rsid w:val="6ADA3B20"/>
    <w:rsid w:val="6B0D1BCA"/>
    <w:rsid w:val="6B3018D9"/>
    <w:rsid w:val="6B5C045C"/>
    <w:rsid w:val="6B7441D2"/>
    <w:rsid w:val="6BCD20ED"/>
    <w:rsid w:val="6C184383"/>
    <w:rsid w:val="6C4B544F"/>
    <w:rsid w:val="6C7837BE"/>
    <w:rsid w:val="6CF87641"/>
    <w:rsid w:val="6D7B02A9"/>
    <w:rsid w:val="6D7C7EBA"/>
    <w:rsid w:val="6DFB0400"/>
    <w:rsid w:val="6E31583E"/>
    <w:rsid w:val="6E3A7279"/>
    <w:rsid w:val="6E4259CD"/>
    <w:rsid w:val="6E4D31C7"/>
    <w:rsid w:val="6E5A765B"/>
    <w:rsid w:val="6EC9378F"/>
    <w:rsid w:val="6EF66927"/>
    <w:rsid w:val="6F1254BE"/>
    <w:rsid w:val="6F720DF7"/>
    <w:rsid w:val="6F976446"/>
    <w:rsid w:val="6FE43ACE"/>
    <w:rsid w:val="6FF756D2"/>
    <w:rsid w:val="6FF9271D"/>
    <w:rsid w:val="6FFD93C6"/>
    <w:rsid w:val="706526EF"/>
    <w:rsid w:val="70B565F0"/>
    <w:rsid w:val="70ED37E8"/>
    <w:rsid w:val="70FF5DFC"/>
    <w:rsid w:val="710E1F34"/>
    <w:rsid w:val="71365D4B"/>
    <w:rsid w:val="717A2908"/>
    <w:rsid w:val="71A44693"/>
    <w:rsid w:val="71E93C58"/>
    <w:rsid w:val="72225A60"/>
    <w:rsid w:val="722C0B88"/>
    <w:rsid w:val="728D33A7"/>
    <w:rsid w:val="72AC3063"/>
    <w:rsid w:val="72C11723"/>
    <w:rsid w:val="7327776E"/>
    <w:rsid w:val="73546031"/>
    <w:rsid w:val="735A7779"/>
    <w:rsid w:val="735F7803"/>
    <w:rsid w:val="73612DC9"/>
    <w:rsid w:val="736F0038"/>
    <w:rsid w:val="739B17C0"/>
    <w:rsid w:val="73D301D0"/>
    <w:rsid w:val="73FF7505"/>
    <w:rsid w:val="741A3431"/>
    <w:rsid w:val="74AA0142"/>
    <w:rsid w:val="74AB724F"/>
    <w:rsid w:val="752666A5"/>
    <w:rsid w:val="75526B06"/>
    <w:rsid w:val="7561422E"/>
    <w:rsid w:val="757F5A0D"/>
    <w:rsid w:val="759D0570"/>
    <w:rsid w:val="75C30977"/>
    <w:rsid w:val="75F5501D"/>
    <w:rsid w:val="76407811"/>
    <w:rsid w:val="76845500"/>
    <w:rsid w:val="76A652FC"/>
    <w:rsid w:val="770368F5"/>
    <w:rsid w:val="7707709A"/>
    <w:rsid w:val="774C14AC"/>
    <w:rsid w:val="776D47E2"/>
    <w:rsid w:val="777C25C8"/>
    <w:rsid w:val="779A740B"/>
    <w:rsid w:val="77D71596"/>
    <w:rsid w:val="77EC0248"/>
    <w:rsid w:val="78103AF8"/>
    <w:rsid w:val="783464A3"/>
    <w:rsid w:val="78A85DF9"/>
    <w:rsid w:val="78C31619"/>
    <w:rsid w:val="78F26A46"/>
    <w:rsid w:val="78F9159B"/>
    <w:rsid w:val="790231C8"/>
    <w:rsid w:val="790A52F9"/>
    <w:rsid w:val="79123870"/>
    <w:rsid w:val="792720C0"/>
    <w:rsid w:val="798A5B44"/>
    <w:rsid w:val="79CE1311"/>
    <w:rsid w:val="79ED7F46"/>
    <w:rsid w:val="7A0937B9"/>
    <w:rsid w:val="7A386F17"/>
    <w:rsid w:val="7AA240DD"/>
    <w:rsid w:val="7AB54AC8"/>
    <w:rsid w:val="7B22281E"/>
    <w:rsid w:val="7B432582"/>
    <w:rsid w:val="7BE424D4"/>
    <w:rsid w:val="7BF01D6A"/>
    <w:rsid w:val="7C0B7A60"/>
    <w:rsid w:val="7C966F0F"/>
    <w:rsid w:val="7C9C37BF"/>
    <w:rsid w:val="7CAC0670"/>
    <w:rsid w:val="7CCA13A9"/>
    <w:rsid w:val="7CCD527C"/>
    <w:rsid w:val="7CFD5A3B"/>
    <w:rsid w:val="7D21160F"/>
    <w:rsid w:val="7D31799A"/>
    <w:rsid w:val="7DE627B4"/>
    <w:rsid w:val="7E044E8B"/>
    <w:rsid w:val="7E1108C9"/>
    <w:rsid w:val="7E1B36F9"/>
    <w:rsid w:val="7E1D16B0"/>
    <w:rsid w:val="7E417C89"/>
    <w:rsid w:val="7E59601C"/>
    <w:rsid w:val="7EED1B0F"/>
    <w:rsid w:val="7EF93F0A"/>
    <w:rsid w:val="7F0864D9"/>
    <w:rsid w:val="7F0F2700"/>
    <w:rsid w:val="7F5636E8"/>
    <w:rsid w:val="7F7D6A05"/>
    <w:rsid w:val="7F957B3D"/>
    <w:rsid w:val="E5BDD301"/>
    <w:rsid w:val="EFB6BD83"/>
    <w:rsid w:val="EFF8C02A"/>
    <w:rsid w:val="F2E46055"/>
    <w:rsid w:val="FF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100" w:beforeLines="100" w:beforeAutospacing="0" w:after="100" w:afterLines="100" w:afterAutospacing="0"/>
      <w:jc w:val="center"/>
      <w:outlineLvl w:val="0"/>
    </w:pPr>
    <w:rPr>
      <w:rFonts w:hint="eastAsia" w:ascii="宋体" w:hAnsi="宋体" w:eastAsia="宋体" w:cs="宋体"/>
      <w:b/>
      <w:kern w:val="44"/>
      <w:sz w:val="36"/>
      <w:szCs w:val="48"/>
      <w:lang w:val="en-US" w:eastAsia="zh-CN" w:bidi="ar"/>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next w:val="4"/>
    <w:autoRedefine/>
    <w:qFormat/>
    <w:uiPriority w:val="99"/>
    <w:pPr>
      <w:ind w:firstLine="420"/>
    </w:pPr>
  </w:style>
  <w:style w:type="paragraph" w:styleId="4">
    <w:name w:val="Body Text First Indent 2"/>
    <w:basedOn w:val="5"/>
    <w:next w:val="5"/>
    <w:autoRedefine/>
    <w:unhideWhenUsed/>
    <w:qFormat/>
    <w:uiPriority w:val="99"/>
    <w:pPr>
      <w:ind w:firstLine="420" w:firstLineChars="200"/>
    </w:pPr>
  </w:style>
  <w:style w:type="paragraph" w:styleId="5">
    <w:name w:val="Body Text Indent"/>
    <w:basedOn w:val="1"/>
    <w:next w:val="3"/>
    <w:autoRedefine/>
    <w:unhideWhenUsed/>
    <w:qFormat/>
    <w:uiPriority w:val="99"/>
    <w:pPr>
      <w:spacing w:after="120"/>
      <w:ind w:left="420" w:leftChars="200"/>
    </w:pPr>
  </w:style>
  <w:style w:type="paragraph" w:styleId="6">
    <w:name w:val="Balloon Text"/>
    <w:basedOn w:val="1"/>
    <w:autoRedefine/>
    <w:qFormat/>
    <w:uiPriority w:val="0"/>
    <w:rPr>
      <w:sz w:val="18"/>
      <w:szCs w:val="18"/>
    </w:rPr>
  </w:style>
  <w:style w:type="paragraph" w:styleId="7">
    <w:name w:val="footer"/>
    <w:basedOn w:val="1"/>
    <w:link w:val="22"/>
    <w:autoRedefine/>
    <w:semiHidden/>
    <w:unhideWhenUsed/>
    <w:qFormat/>
    <w:uiPriority w:val="99"/>
    <w:pPr>
      <w:tabs>
        <w:tab w:val="center" w:pos="4153"/>
        <w:tab w:val="right" w:pos="8306"/>
      </w:tabs>
      <w:snapToGrid w:val="0"/>
      <w:jc w:val="left"/>
    </w:pPr>
    <w:rPr>
      <w:sz w:val="18"/>
      <w:szCs w:val="18"/>
    </w:rPr>
  </w:style>
  <w:style w:type="paragraph" w:styleId="8">
    <w:name w:val="header"/>
    <w:basedOn w:val="1"/>
    <w:link w:val="2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99"/>
    <w:pPr>
      <w:spacing w:before="100" w:beforeAutospacing="1" w:after="100" w:afterAutospacing="1"/>
      <w:jc w:val="left"/>
    </w:pPr>
    <w:rPr>
      <w:kern w:val="0"/>
      <w:sz w:val="24"/>
      <w:szCs w:val="24"/>
    </w:rPr>
  </w:style>
  <w:style w:type="table" w:styleId="11">
    <w:name w:val="Table Grid"/>
    <w:basedOn w:val="10"/>
    <w:autoRedefine/>
    <w:qFormat/>
    <w:uiPriority w:val="0"/>
    <w:rPr>
      <w:rFonts w:ascii="Calibri" w:hAnsi="Calibri" w:cs="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22"/>
    <w:rPr>
      <w:b/>
    </w:rPr>
  </w:style>
  <w:style w:type="character" w:styleId="14">
    <w:name w:val="page number"/>
    <w:autoRedefine/>
    <w:qFormat/>
    <w:uiPriority w:val="0"/>
    <w:rPr>
      <w:rFonts w:cs="Times New Roman"/>
    </w:rPr>
  </w:style>
  <w:style w:type="character" w:styleId="15">
    <w:name w:val="FollowedHyperlink"/>
    <w:basedOn w:val="12"/>
    <w:autoRedefine/>
    <w:semiHidden/>
    <w:unhideWhenUsed/>
    <w:qFormat/>
    <w:uiPriority w:val="99"/>
    <w:rPr>
      <w:color w:val="333333"/>
      <w:u w:val="none"/>
    </w:rPr>
  </w:style>
  <w:style w:type="character" w:styleId="16">
    <w:name w:val="HTML Definition"/>
    <w:basedOn w:val="12"/>
    <w:autoRedefine/>
    <w:semiHidden/>
    <w:unhideWhenUsed/>
    <w:qFormat/>
    <w:uiPriority w:val="99"/>
    <w:rPr>
      <w:i/>
    </w:rPr>
  </w:style>
  <w:style w:type="character" w:styleId="17">
    <w:name w:val="Hyperlink"/>
    <w:basedOn w:val="12"/>
    <w:autoRedefine/>
    <w:semiHidden/>
    <w:unhideWhenUsed/>
    <w:qFormat/>
    <w:uiPriority w:val="99"/>
    <w:rPr>
      <w:color w:val="333333"/>
      <w:u w:val="none"/>
    </w:rPr>
  </w:style>
  <w:style w:type="character" w:styleId="18">
    <w:name w:val="HTML Code"/>
    <w:basedOn w:val="12"/>
    <w:autoRedefine/>
    <w:semiHidden/>
    <w:unhideWhenUsed/>
    <w:qFormat/>
    <w:uiPriority w:val="99"/>
    <w:rPr>
      <w:rFonts w:hint="default" w:ascii="Consolas" w:hAnsi="Consolas" w:eastAsia="Consolas" w:cs="Consolas"/>
      <w:color w:val="C7254E"/>
      <w:sz w:val="21"/>
      <w:szCs w:val="21"/>
      <w:shd w:val="clear" w:fill="F9F2F4"/>
    </w:rPr>
  </w:style>
  <w:style w:type="character" w:styleId="19">
    <w:name w:val="HTML Keyboard"/>
    <w:basedOn w:val="12"/>
    <w:autoRedefine/>
    <w:semiHidden/>
    <w:unhideWhenUsed/>
    <w:qFormat/>
    <w:uiPriority w:val="99"/>
    <w:rPr>
      <w:rFonts w:hint="default" w:ascii="Consolas" w:hAnsi="Consolas" w:eastAsia="Consolas" w:cs="Consolas"/>
      <w:color w:val="FFFFFF"/>
      <w:sz w:val="21"/>
      <w:szCs w:val="21"/>
      <w:shd w:val="clear" w:fill="333333"/>
    </w:rPr>
  </w:style>
  <w:style w:type="character" w:styleId="20">
    <w:name w:val="HTML Sample"/>
    <w:basedOn w:val="12"/>
    <w:autoRedefine/>
    <w:semiHidden/>
    <w:unhideWhenUsed/>
    <w:qFormat/>
    <w:uiPriority w:val="99"/>
    <w:rPr>
      <w:rFonts w:ascii="Consolas" w:hAnsi="Consolas" w:eastAsia="Consolas" w:cs="Consolas"/>
      <w:sz w:val="21"/>
      <w:szCs w:val="21"/>
    </w:rPr>
  </w:style>
  <w:style w:type="character" w:customStyle="1" w:styleId="21">
    <w:name w:val="页眉 Char"/>
    <w:basedOn w:val="12"/>
    <w:link w:val="8"/>
    <w:autoRedefine/>
    <w:semiHidden/>
    <w:qFormat/>
    <w:uiPriority w:val="99"/>
    <w:rPr>
      <w:sz w:val="18"/>
      <w:szCs w:val="18"/>
    </w:rPr>
  </w:style>
  <w:style w:type="character" w:customStyle="1" w:styleId="22">
    <w:name w:val="页脚 Char"/>
    <w:basedOn w:val="12"/>
    <w:link w:val="7"/>
    <w:autoRedefine/>
    <w:semiHidden/>
    <w:qFormat/>
    <w:uiPriority w:val="99"/>
    <w:rPr>
      <w:sz w:val="18"/>
      <w:szCs w:val="18"/>
    </w:rPr>
  </w:style>
  <w:style w:type="character" w:customStyle="1" w:styleId="23">
    <w:name w:val="font31"/>
    <w:basedOn w:val="12"/>
    <w:autoRedefine/>
    <w:qFormat/>
    <w:uiPriority w:val="0"/>
    <w:rPr>
      <w:rFonts w:hint="default" w:ascii="Arial" w:hAnsi="Arial" w:cs="Arial"/>
      <w:color w:val="000000"/>
      <w:sz w:val="20"/>
      <w:szCs w:val="20"/>
      <w:u w:val="none"/>
    </w:rPr>
  </w:style>
  <w:style w:type="character" w:customStyle="1" w:styleId="24">
    <w:name w:val="font41"/>
    <w:basedOn w:val="12"/>
    <w:autoRedefine/>
    <w:qFormat/>
    <w:uiPriority w:val="0"/>
    <w:rPr>
      <w:rFonts w:hint="eastAsia" w:ascii="宋体" w:hAnsi="宋体" w:eastAsia="宋体" w:cs="宋体"/>
      <w:color w:val="000000"/>
      <w:sz w:val="20"/>
      <w:szCs w:val="20"/>
      <w:u w:val="none"/>
    </w:rPr>
  </w:style>
  <w:style w:type="character" w:customStyle="1" w:styleId="25">
    <w:name w:val="font61"/>
    <w:basedOn w:val="12"/>
    <w:autoRedefine/>
    <w:qFormat/>
    <w:uiPriority w:val="0"/>
    <w:rPr>
      <w:rFonts w:hint="default" w:ascii="Times New Roman" w:hAnsi="Times New Roman" w:cs="Times New Roman"/>
      <w:color w:val="000000"/>
      <w:sz w:val="22"/>
      <w:szCs w:val="22"/>
      <w:u w:val="none"/>
    </w:rPr>
  </w:style>
  <w:style w:type="character" w:customStyle="1" w:styleId="26">
    <w:name w:val="font51"/>
    <w:basedOn w:val="12"/>
    <w:autoRedefine/>
    <w:qFormat/>
    <w:uiPriority w:val="0"/>
    <w:rPr>
      <w:rFonts w:hint="eastAsia" w:ascii="仿宋_GB2312" w:eastAsia="仿宋_GB2312" w:cs="仿宋_GB2312"/>
      <w:color w:val="000000"/>
      <w:sz w:val="22"/>
      <w:szCs w:val="22"/>
      <w:u w:val="none"/>
    </w:rPr>
  </w:style>
  <w:style w:type="character" w:customStyle="1" w:styleId="27">
    <w:name w:val="font01"/>
    <w:basedOn w:val="12"/>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15</Pages>
  <Words>7695</Words>
  <Characters>8167</Characters>
  <Lines>117</Lines>
  <Paragraphs>32</Paragraphs>
  <TotalTime>30</TotalTime>
  <ScaleCrop>false</ScaleCrop>
  <LinksUpToDate>false</LinksUpToDate>
  <CharactersWithSpaces>8199</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2020-12-23T23:10:00Z</dcterms:created>
  <dc:creator>Sky123.Org</dc:creator>
  <cp:lastModifiedBy>可口可乐</cp:lastModifiedBy>
  <cp:lastPrinted>2026-07-16T17:38:00Z</cp:lastPrinted>
  <dcterms:modified xsi:type="dcterms:W3CDTF">2026-07-16T16:21:58Z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KSOSaveFontToCloudKey">
    <vt:lpwstr>29860596_embed</vt:lpwstr>
  </property>
  <property fmtid="{D5CDD505-2E9C-101B-9397-08002B2CF9AE}" pid="4" name="ICV">
    <vt:lpwstr>D25C6DB65E764C6AAF88D33D0300ECA7_13</vt:lpwstr>
  </property>
  <property fmtid="{D5CDD505-2E9C-101B-9397-08002B2CF9AE}" pid="5" name="KSOTemplateDocerSaveRecord">
    <vt:lpwstr>eyJoZGlkIjoiNjA4NjMwYTlmOWYxYmE1MDhmZWRmZDAxMTAzMDkyNjgiLCJ1c2VySWQiOiIzMzgxMzQ5OTMifQ==</vt:lpwstr>
  </property>
</Properties>
</file>