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color w:val="FF0000"/>
          <w:sz w:val="52"/>
          <w:szCs w:val="5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FF000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z w:val="52"/>
          <w:szCs w:val="52"/>
        </w:rPr>
        <w:t>北 京 英 扬 医 院 管 理 中 心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52"/>
          <w:szCs w:val="5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z w:val="52"/>
          <w:szCs w:val="52"/>
        </w:rPr>
        <w:t>《第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52"/>
          <w:szCs w:val="52"/>
          <w:lang w:eastAsia="zh-CN"/>
        </w:rPr>
        <w:t>十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52"/>
          <w:szCs w:val="52"/>
        </w:rPr>
        <w:t>届全国医院财务大会》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52"/>
          <w:szCs w:val="52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sz w:val="52"/>
          <w:szCs w:val="5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  <w:t>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  <w:t>请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  <w:t>函</w:t>
      </w:r>
    </w:p>
    <w:p>
      <w:pPr>
        <w:tabs>
          <w:tab w:val="left" w:pos="1418"/>
        </w:tabs>
        <w:rPr>
          <w:rFonts w:hint="eastAsia" w:asciiTheme="majorEastAsia" w:hAnsiTheme="majorEastAsia" w:eastAsiaTheme="majorEastAsia" w:cstheme="majorEastAsia"/>
          <w:b/>
          <w:sz w:val="52"/>
          <w:szCs w:val="52"/>
        </w:rPr>
      </w:pPr>
    </w:p>
    <w:p>
      <w:pPr>
        <w:tabs>
          <w:tab w:val="left" w:pos="1418"/>
        </w:tabs>
        <w:rPr>
          <w:rFonts w:hint="eastAsia" w:asciiTheme="majorEastAsia" w:hAnsiTheme="majorEastAsia" w:eastAsiaTheme="majorEastAsia" w:cstheme="majorEastAsia"/>
          <w:b/>
          <w:sz w:val="52"/>
          <w:szCs w:val="52"/>
        </w:rPr>
      </w:pPr>
    </w:p>
    <w:p>
      <w:pPr>
        <w:tabs>
          <w:tab w:val="left" w:pos="1418"/>
        </w:tabs>
        <w:ind w:firstLine="2409" w:firstLineChars="500"/>
        <w:jc w:val="both"/>
        <w:rPr>
          <w:rFonts w:hint="eastAsia" w:asciiTheme="majorEastAsia" w:hAnsiTheme="majorEastAsia" w:eastAsiaTheme="majorEastAsia" w:cs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时  间：20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月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日-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日</w:t>
      </w:r>
    </w:p>
    <w:p>
      <w:pPr>
        <w:tabs>
          <w:tab w:val="left" w:pos="1418"/>
        </w:tabs>
        <w:ind w:firstLine="2409" w:firstLineChars="500"/>
        <w:jc w:val="both"/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地  点：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贵州--贵阳</w:t>
      </w:r>
    </w:p>
    <w:p>
      <w:pPr>
        <w:tabs>
          <w:tab w:val="left" w:pos="1418"/>
        </w:tabs>
        <w:ind w:firstLine="239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tabs>
          <w:tab w:val="left" w:pos="1418"/>
        </w:tabs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tabs>
          <w:tab w:val="left" w:pos="1418"/>
        </w:tabs>
        <w:spacing w:line="360" w:lineRule="auto"/>
        <w:ind w:firstLine="360" w:firstLineChars="150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tabs>
          <w:tab w:val="left" w:pos="1418"/>
        </w:tabs>
        <w:spacing w:line="360" w:lineRule="auto"/>
        <w:ind w:firstLine="360" w:firstLineChars="150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tabs>
          <w:tab w:val="left" w:pos="1418"/>
        </w:tabs>
        <w:spacing w:line="360" w:lineRule="auto"/>
        <w:ind w:firstLine="360" w:firstLineChars="150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tabs>
          <w:tab w:val="left" w:pos="1418"/>
        </w:tabs>
        <w:spacing w:line="360" w:lineRule="auto"/>
        <w:ind w:firstLine="360" w:firstLineChars="150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国务院总理李克强召开国务院常务会议，部署推进医疗联合体建设，会议强调了破除壁垒、推动优质医疗资源共享和下沉的重要性。国家需要分级诊疗，缓解群众看病难、看病贵；专家需要体现自己的价值；基层医院需要提升服务能力。三者需求交集于学科建设。学科建设是医院之间相互协同的一条重要纽带。也是各方目标的统合。</w:t>
      </w:r>
    </w:p>
    <w:p>
      <w:pPr>
        <w:tabs>
          <w:tab w:val="left" w:pos="1418"/>
        </w:tabs>
        <w:spacing w:line="360" w:lineRule="auto"/>
        <w:ind w:firstLine="482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成体系的学科建设能打造人才成长的平台，进而完善基层自身的造血功能。基层医院当前亟须在大医院的帮扶之下打造精品科室，加强学科建设，在此过程中上级医院通过学科整合与基层医院深度结合，扎根于医联体的土壤中，既“摘桃”，又“种树”，实现共赢。</w:t>
      </w:r>
    </w:p>
    <w:p>
      <w:pPr>
        <w:tabs>
          <w:tab w:val="left" w:pos="1418"/>
        </w:tabs>
        <w:spacing w:line="360" w:lineRule="auto"/>
        <w:ind w:firstLine="482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在新的时代背景下，医院的管理模式将逐步由粗放型向精细化发展、由规范化向系统优化发展，重视资源管理和成本控制。为了提高各医院财务人员经济管理业务能力，加强经济活动的财务控制和风险防范，促进各医疗机构建立能落地的以战略为导向的成本管理体系，不断提高医疗机构管理效能。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为此，北京英扬国际医院管理中心举办《第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届医院财务大会》，与您一起分享国内知名专家的成功经验。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8"/>
          <w:szCs w:val="28"/>
        </w:rPr>
        <w:t>【时间地点】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会议时间：20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日-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7月3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日全天报到，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日连续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授课两天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会议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贵州--贵阳 （具体会场地址前两周以报到通知书形式通知）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8"/>
          <w:szCs w:val="28"/>
        </w:rPr>
        <w:t>【学习对象】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各级卫计委（卫生局）领导、医疗机构、医院院长、书记、副院长、人力资源部、质控办、办公室、财务科、审计科、经管办、成本核算科、医务科、运营部、护理部、信息部、后勤保障等职能部门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【授课方式】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本次班型采用：专家主讲+案例剖析+提问互答讨论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学习模块一：加强全面预算管理提升医院管理水平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医院全面预算目标的确定方法与分解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医院全面预算编制的方法和内容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预算的“分级归口”管理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预算在执行过程中的审批各预算调整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预算报告与考评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预算考评与绩效考核相关联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预算编制模式及应用案例分析</w:t>
      </w:r>
    </w:p>
    <w:p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案例：医务部部门预算的基本信息及需求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学习模块二：成本核算方法与实施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科室全成本四级分摊流程图及解析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直接成本的归集和单位成本的分摊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医疗科室诊次及床日成本分析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医技科室收入、成本、收益情况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科室成本量本利分析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业务科室成本考核支出计算项目及标准表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卫生材料考核</w:t>
      </w:r>
    </w:p>
    <w:p>
      <w:pPr>
        <w:pStyle w:val="3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固定资产/医用设备管理流程及成本管控分析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医技科室本量利分析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大型设备本量利分析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大型设备工作量分析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大型设备利用情况分析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通用设备使用管理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360" w:firstLineChars="1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 存货/医用材料管理模式及成本分析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学习模块三：绩效管理实操案例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以预算或政府核定绩效工资总额的方式，确定医用人力成本（绩效工资）总量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对临床、医技、医辅、职能部门进行科室绩效评价及考核，按照科室评估确定临床及医技科室排序、系数、绩效工资标准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实施院部对中层干部，护理部对护士长，科室对员工的岗位绩效考核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海氏评分法、进行岗位评价，确定岗位价值及价值差异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确定医技、医辅、职能部门科室平衡记分卡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绩效考核及薪酬分配的框架与流程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确定年度用于绩效工资总量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现有医院运转模式下与工作量相关的方法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临床医技科室月度绩效考核指标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医辅及职能部门月度绩效考核指标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学习模块四：医院财务分析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从动态角度分析财务状况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依据年终财务报表数据从静态角度分析财务状况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加强财务会计核算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建立和完善科学的财务制度，必须把握的重要原则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预算管理指标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资产运营指标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成本管理指标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总资产增长率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净资产增长率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固定资产净值率，反映医院固定资产的新旧程度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【学习收益】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6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绩效考核和奖金分配进行全面讲解和指导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6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科室成本控制与工资二次分配原则及分配方法（案例分享）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6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护理人员的二次分配原则及绩效考核分析（案例分享）</w:t>
      </w:r>
    </w:p>
    <w:p>
      <w:pPr>
        <w:pStyle w:val="39"/>
        <w:keepNext w:val="0"/>
        <w:keepLines w:val="0"/>
        <w:pageBreakBefore w:val="0"/>
        <w:widowControl/>
        <w:numPr>
          <w:ilvl w:val="0"/>
          <w:numId w:val="6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如何使医务人员的工资收入与医疗服务的数量、质量、技术难度、成本控制、满意度等评审指标挂钩？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【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eastAsia="zh-CN"/>
        </w:rPr>
        <w:t>拟邀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师资】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 w:bidi="ar"/>
        </w:rPr>
        <w:t>滑茂善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：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高级会计师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，301医院财务科长，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301医院管理研究所副所长。中国医疗保险研究会常务理事、北京市价格协会常务理事、全军卫生经济管理专业委员会副主任委员、中国注册会计师协会非执业会员。主持解放军总医院ERP精细化运营管理物资保障项目的初始研发工作，任解放军总医院精细化运营管理项目副组长，直接参与了解放军总医院精细化运营工作的组织与实施。</w:t>
      </w:r>
    </w:p>
    <w:p>
      <w:pPr>
        <w:pStyle w:val="3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张仁华：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现任首都医科大学附属北京朝阳医院总会计师、副院长。兼任中国总会计师协会理事、北京总会计师协会常务理事、北京卫生经济学会理事、中国医药卫生会计协会常务理事。  2017年职业化院长命题小组六成员之一！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研究领域：医院成本管理、绩效管理、预算管理、会计制度设计、财务报表分析、内控制度建设等医院经济经营管理各领域。</w:t>
      </w:r>
    </w:p>
    <w:p>
      <w:pPr>
        <w:pStyle w:val="3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操礼庆：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国务院医改办综合医改效果评价专家、国家卫计委经济管理绩效评价专家、安徽省人社厅专家咨询委员会委员、安徽省卫计委医改专家委员会委员、安徽省等级医院评审员、安徽省会计专业高级资格评审专家库成员。兼任中国卫生经济学会卫生财会分会常务理事、安徽省总会计师协会副会长、安徽省卫生经济学会常务理事兼副秘书长。</w:t>
      </w:r>
    </w:p>
    <w:p>
      <w:pPr>
        <w:pStyle w:val="4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105" w:leftChars="50"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田立启：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现任青岛大学医疗集团总院长助理，财务部部长；青岛大学医学院附属医院规划财务部主任，总会计师。曾出版《医院经济运行精细化管理》书籍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【学习费用】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1680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元/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、3000/2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、4200/3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、4人以上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1300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/位计算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（含学费、讲义资料费），食宿统一安排，费用自理，报到时收取。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【报名方式】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为能得到席位请您尽快安排将报名表填写回执给我们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【 联系人 】</w:t>
      </w:r>
      <w:r>
        <w:rPr>
          <w:rFonts w:hint="eastAsia" w:asciiTheme="minorEastAsia" w:hAnsiTheme="minorEastAsia" w:eastAsiaTheme="minorEastAsia" w:cstheme="minorEastAsia"/>
          <w:b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王涵  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【报名电话】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13381222034（微信同步） 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instrText xml:space="preserve"> HYPERLINK "mailto:【报名邮箱】289484550@qq.com" </w:instrTex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fldChar w:fldCharType="separate"/>
      </w:r>
      <w:r>
        <w:rPr>
          <w:rStyle w:val="30"/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u w:val="none"/>
        </w:rPr>
        <w:t>【报名邮箱】</w:t>
      </w:r>
      <w:r>
        <w:rPr>
          <w:rStyle w:val="30"/>
          <w:rFonts w:hint="eastAsia" w:asciiTheme="minorEastAsia" w:hAnsiTheme="minorEastAsia" w:eastAsiaTheme="minorEastAsia" w:cstheme="minorEastAsia"/>
          <w:b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289484550@qq.com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【单位名称】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北京英扬国际教育咨询有限公司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【 账 号 】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11050 188360 000000 373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47625</wp:posOffset>
            </wp:positionV>
            <wp:extent cx="1729105" cy="1658620"/>
            <wp:effectExtent l="0" t="0" r="4445" b="17780"/>
            <wp:wrapNone/>
            <wp:docPr id="1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68F2DF"/>
                        </a:clrFrom>
                        <a:clrTo>
                          <a:srgbClr val="68F2DF">
                            <a:alpha val="0"/>
                          </a:srgbClr>
                        </a:clrTo>
                      </a:clrChange>
                    </a:blip>
                    <a:srcRect l="21606" t="19655" r="20107" b="38333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8100060</wp:posOffset>
            </wp:positionH>
            <wp:positionV relativeFrom="paragraph">
              <wp:posOffset>133350</wp:posOffset>
            </wp:positionV>
            <wp:extent cx="1724025" cy="1657350"/>
            <wp:effectExtent l="0" t="0" r="0" b="0"/>
            <wp:wrapNone/>
            <wp:docPr id="3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1606" t="19655" r="20107" b="38333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【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开户行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】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中国建设银行北京上地支行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    </w:t>
      </w:r>
    </w:p>
    <w:p>
      <w:pPr>
        <w:tabs>
          <w:tab w:val="left" w:pos="1418"/>
        </w:tabs>
        <w:spacing w:line="415" w:lineRule="auto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tabs>
          <w:tab w:val="left" w:pos="1418"/>
        </w:tabs>
        <w:spacing w:line="415" w:lineRule="auto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tabs>
          <w:tab w:val="left" w:pos="1418"/>
        </w:tabs>
        <w:spacing w:line="415" w:lineRule="auto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tabs>
          <w:tab w:val="left" w:pos="1418"/>
        </w:tabs>
        <w:spacing w:line="415" w:lineRule="auto"/>
        <w:ind w:firstLine="3975" w:firstLineChars="165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tabs>
          <w:tab w:val="left" w:pos="1418"/>
        </w:tabs>
        <w:spacing w:line="415" w:lineRule="auto"/>
        <w:ind w:firstLine="3975" w:firstLineChars="165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tabs>
          <w:tab w:val="left" w:pos="1418"/>
        </w:tabs>
        <w:spacing w:line="415" w:lineRule="auto"/>
        <w:ind w:firstLine="3975" w:firstLineChars="165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tabs>
          <w:tab w:val="left" w:pos="1418"/>
        </w:tabs>
        <w:spacing w:line="415" w:lineRule="auto"/>
        <w:ind w:firstLine="3975" w:firstLineChars="165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pacing w:line="400" w:lineRule="exact"/>
        <w:ind w:firstLine="3092" w:firstLineChars="700"/>
        <w:jc w:val="both"/>
        <w:rPr>
          <w:rFonts w:hint="eastAsia" w:asciiTheme="minorEastAsia" w:hAnsiTheme="minorEastAsia" w:eastAsiaTheme="minorEastAsia" w:cstheme="minorEastAsia"/>
          <w:b/>
          <w:bCs w:val="0"/>
          <w:color w:val="FF0000"/>
          <w:sz w:val="44"/>
          <w:szCs w:val="44"/>
        </w:rPr>
      </w:pPr>
    </w:p>
    <w:p>
      <w:pPr>
        <w:spacing w:line="400" w:lineRule="exact"/>
        <w:ind w:firstLine="3534" w:firstLineChars="800"/>
        <w:jc w:val="both"/>
        <w:rPr>
          <w:rFonts w:hint="eastAsia" w:asciiTheme="minorEastAsia" w:hAnsiTheme="minorEastAsia" w:eastAsiaTheme="minorEastAsia" w:cstheme="minorEastAsia"/>
          <w:b/>
          <w:bCs w:val="0"/>
          <w:color w:val="FF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44"/>
          <w:szCs w:val="44"/>
        </w:rPr>
        <w:t>报名学习回执表</w:t>
      </w: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单位名称：</w:t>
      </w:r>
    </w:p>
    <w:tbl>
      <w:tblPr>
        <w:tblStyle w:val="26"/>
        <w:tblW w:w="108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134"/>
        <w:gridCol w:w="3751"/>
        <w:gridCol w:w="2126"/>
        <w:gridCol w:w="24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单位名称（发票抬头）及</w:t>
            </w:r>
          </w:p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税号或社会信用代码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开票科目（培训费、会务费、咨询费）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 w:line="77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28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住宿  需要几个标间/大床房</w:t>
            </w:r>
          </w:p>
        </w:tc>
        <w:tc>
          <w:tcPr>
            <w:tcW w:w="37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负责联系人</w:t>
            </w: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shd w:val="clear" w:color="000000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负责人邮箱</w:t>
            </w:r>
          </w:p>
        </w:tc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shd w:val="clear" w:color="000000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280" w:beforeAutospacing="1" w:after="280" w:afterAutospacing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住宿天数：  年  月 日---   日</w:t>
            </w:r>
          </w:p>
        </w:tc>
        <w:tc>
          <w:tcPr>
            <w:tcW w:w="45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王涵 13381222034</w:t>
            </w:r>
          </w:p>
        </w:tc>
      </w:tr>
    </w:tbl>
    <w:p>
      <w:pPr>
        <w:tabs>
          <w:tab w:val="left" w:pos="1418"/>
        </w:tabs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sectPr>
      <w:headerReference r:id="rId3" w:type="default"/>
      <w:pgSz w:w="11906" w:h="16838"/>
      <w:pgMar w:top="851" w:right="720" w:bottom="568" w:left="7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000000" w:sz="6" w:space="0"/>
      </w:pBdr>
      <w:snapToGrid w:val="0"/>
      <w:jc w:val="right"/>
      <w:rPr>
        <w:rFonts w:hAnsi="宋体"/>
      </w:rPr>
    </w:pPr>
    <w:r>
      <w:rPr>
        <w:rFonts w:hAnsi="宋体"/>
      </w:rPr>
      <w:fldChar w:fldCharType="begin"/>
    </w:r>
    <w:r>
      <w:instrText xml:space="preserve">PAGE  \* MERGEFORMAT</w:instrText>
    </w:r>
    <w:r>
      <w:fldChar w:fldCharType="separate"/>
    </w:r>
    <w:r>
      <w:rPr>
        <w:rFonts w:hAnsi="宋体"/>
      </w:rPr>
      <w:t>1</w:t>
    </w:r>
    <w:r>
      <w:rPr>
        <w:rFonts w:hAnsi="宋体"/>
      </w:rPr>
      <w:fldChar w:fldCharType="end"/>
    </w:r>
  </w:p>
  <w:p>
    <w:pPr>
      <w:pStyle w:val="18"/>
      <w:pBdr>
        <w:bottom w:val="single" w:color="000000" w:sz="6" w:space="0"/>
      </w:pBdr>
      <w:snapToGrid w:val="0"/>
      <w:rPr>
        <w:rFonts w:hAnsi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420" w:hanging="420"/>
        <w:jc w:val="both"/>
      </w:pPr>
    </w:lvl>
    <w:lvl w:ilvl="1" w:tentative="0">
      <w:start w:val="1"/>
      <w:numFmt w:val="lowerLetter"/>
      <w:lvlText w:val="%2)"/>
      <w:lvlJc w:val="left"/>
      <w:pPr>
        <w:ind w:left="1260" w:hanging="420"/>
        <w:jc w:val="both"/>
      </w:pPr>
    </w:lvl>
    <w:lvl w:ilvl="2" w:tentative="0">
      <w:start w:val="1"/>
      <w:numFmt w:val="lowerRoman"/>
      <w:lvlText w:val="%3."/>
      <w:lvlJc w:val="right"/>
      <w:pPr>
        <w:ind w:left="1680" w:hanging="420"/>
        <w:jc w:val="both"/>
      </w:pPr>
    </w:lvl>
    <w:lvl w:ilvl="3" w:tentative="0">
      <w:start w:val="1"/>
      <w:numFmt w:val="decimal"/>
      <w:lvlText w:val="%4."/>
      <w:lvlJc w:val="left"/>
      <w:pPr>
        <w:ind w:left="2100" w:hanging="420"/>
        <w:jc w:val="both"/>
      </w:pPr>
    </w:lvl>
    <w:lvl w:ilvl="4" w:tentative="0">
      <w:start w:val="1"/>
      <w:numFmt w:val="lowerLetter"/>
      <w:lvlText w:val="%5)"/>
      <w:lvlJc w:val="left"/>
      <w:pPr>
        <w:ind w:left="2520" w:hanging="420"/>
        <w:jc w:val="both"/>
      </w:pPr>
    </w:lvl>
    <w:lvl w:ilvl="5" w:tentative="0">
      <w:start w:val="1"/>
      <w:numFmt w:val="lowerRoman"/>
      <w:lvlText w:val="%6."/>
      <w:lvlJc w:val="right"/>
      <w:pPr>
        <w:ind w:left="2940" w:hanging="420"/>
        <w:jc w:val="both"/>
      </w:pPr>
    </w:lvl>
    <w:lvl w:ilvl="6" w:tentative="0">
      <w:start w:val="1"/>
      <w:numFmt w:val="decimal"/>
      <w:lvlText w:val="%7."/>
      <w:lvlJc w:val="left"/>
      <w:pPr>
        <w:ind w:left="3360" w:hanging="420"/>
        <w:jc w:val="both"/>
      </w:pPr>
    </w:lvl>
    <w:lvl w:ilvl="7" w:tentative="0">
      <w:start w:val="1"/>
      <w:numFmt w:val="lowerLetter"/>
      <w:lvlText w:val="%8)"/>
      <w:lvlJc w:val="left"/>
      <w:pPr>
        <w:ind w:left="3780" w:hanging="420"/>
        <w:jc w:val="both"/>
      </w:pPr>
    </w:lvl>
    <w:lvl w:ilvl="8" w:tentative="0">
      <w:start w:val="1"/>
      <w:numFmt w:val="lowerRoman"/>
      <w:lvlText w:val="%9."/>
      <w:lvlJc w:val="right"/>
      <w:pPr>
        <w:ind w:left="4200" w:hanging="420"/>
        <w:jc w:val="both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846" w:hanging="420"/>
        <w:jc w:val="both"/>
      </w:pPr>
    </w:lvl>
    <w:lvl w:ilvl="1" w:tentative="0">
      <w:start w:val="1"/>
      <w:numFmt w:val="lowerLetter"/>
      <w:lvlText w:val="%2)"/>
      <w:lvlJc w:val="left"/>
      <w:pPr>
        <w:ind w:left="1266" w:hanging="420"/>
        <w:jc w:val="both"/>
      </w:pPr>
    </w:lvl>
    <w:lvl w:ilvl="2" w:tentative="0">
      <w:start w:val="1"/>
      <w:numFmt w:val="lowerRoman"/>
      <w:lvlText w:val="%3."/>
      <w:lvlJc w:val="right"/>
      <w:pPr>
        <w:ind w:left="1686" w:hanging="420"/>
        <w:jc w:val="both"/>
      </w:pPr>
    </w:lvl>
    <w:lvl w:ilvl="3" w:tentative="0">
      <w:start w:val="1"/>
      <w:numFmt w:val="decimal"/>
      <w:lvlText w:val="%4."/>
      <w:lvlJc w:val="left"/>
      <w:pPr>
        <w:ind w:left="2106" w:hanging="420"/>
        <w:jc w:val="both"/>
      </w:pPr>
    </w:lvl>
    <w:lvl w:ilvl="4" w:tentative="0">
      <w:start w:val="1"/>
      <w:numFmt w:val="lowerLetter"/>
      <w:lvlText w:val="%5)"/>
      <w:lvlJc w:val="left"/>
      <w:pPr>
        <w:ind w:left="2526" w:hanging="420"/>
        <w:jc w:val="both"/>
      </w:pPr>
    </w:lvl>
    <w:lvl w:ilvl="5" w:tentative="0">
      <w:start w:val="1"/>
      <w:numFmt w:val="lowerRoman"/>
      <w:lvlText w:val="%6."/>
      <w:lvlJc w:val="right"/>
      <w:pPr>
        <w:ind w:left="2946" w:hanging="420"/>
        <w:jc w:val="both"/>
      </w:pPr>
    </w:lvl>
    <w:lvl w:ilvl="6" w:tentative="0">
      <w:start w:val="1"/>
      <w:numFmt w:val="decimal"/>
      <w:lvlText w:val="%7."/>
      <w:lvlJc w:val="left"/>
      <w:pPr>
        <w:ind w:left="3366" w:hanging="420"/>
        <w:jc w:val="both"/>
      </w:pPr>
    </w:lvl>
    <w:lvl w:ilvl="7" w:tentative="0">
      <w:start w:val="1"/>
      <w:numFmt w:val="lowerLetter"/>
      <w:lvlText w:val="%8)"/>
      <w:lvlJc w:val="left"/>
      <w:pPr>
        <w:ind w:left="3786" w:hanging="420"/>
        <w:jc w:val="both"/>
      </w:pPr>
    </w:lvl>
    <w:lvl w:ilvl="8" w:tentative="0">
      <w:start w:val="1"/>
      <w:numFmt w:val="lowerRoman"/>
      <w:lvlText w:val="%9."/>
      <w:lvlJc w:val="right"/>
      <w:pPr>
        <w:ind w:left="4206" w:hanging="420"/>
        <w:jc w:val="both"/>
      </w:pPr>
    </w:lvl>
  </w:abstractNum>
  <w:abstractNum w:abstractNumId="2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420" w:hanging="420"/>
        <w:jc w:val="both"/>
      </w:pPr>
    </w:lvl>
    <w:lvl w:ilvl="1" w:tentative="0">
      <w:start w:val="1"/>
      <w:numFmt w:val="lowerLetter"/>
      <w:lvlText w:val="%2)"/>
      <w:lvlJc w:val="left"/>
      <w:pPr>
        <w:ind w:left="1550" w:hanging="420"/>
        <w:jc w:val="both"/>
      </w:pPr>
    </w:lvl>
    <w:lvl w:ilvl="2" w:tentative="0">
      <w:start w:val="1"/>
      <w:numFmt w:val="lowerRoman"/>
      <w:lvlText w:val="%3."/>
      <w:lvlJc w:val="right"/>
      <w:pPr>
        <w:ind w:left="1970" w:hanging="420"/>
        <w:jc w:val="both"/>
      </w:pPr>
    </w:lvl>
    <w:lvl w:ilvl="3" w:tentative="0">
      <w:start w:val="1"/>
      <w:numFmt w:val="decimal"/>
      <w:lvlText w:val="%4."/>
      <w:lvlJc w:val="left"/>
      <w:pPr>
        <w:ind w:left="2390" w:hanging="420"/>
        <w:jc w:val="both"/>
      </w:pPr>
    </w:lvl>
    <w:lvl w:ilvl="4" w:tentative="0">
      <w:start w:val="1"/>
      <w:numFmt w:val="lowerLetter"/>
      <w:lvlText w:val="%5)"/>
      <w:lvlJc w:val="left"/>
      <w:pPr>
        <w:ind w:left="2810" w:hanging="420"/>
        <w:jc w:val="both"/>
      </w:pPr>
    </w:lvl>
    <w:lvl w:ilvl="5" w:tentative="0">
      <w:start w:val="1"/>
      <w:numFmt w:val="lowerRoman"/>
      <w:lvlText w:val="%6."/>
      <w:lvlJc w:val="right"/>
      <w:pPr>
        <w:ind w:left="3230" w:hanging="420"/>
        <w:jc w:val="both"/>
      </w:pPr>
    </w:lvl>
    <w:lvl w:ilvl="6" w:tentative="0">
      <w:start w:val="1"/>
      <w:numFmt w:val="decimal"/>
      <w:lvlText w:val="%7."/>
      <w:lvlJc w:val="left"/>
      <w:pPr>
        <w:ind w:left="3650" w:hanging="420"/>
        <w:jc w:val="both"/>
      </w:pPr>
    </w:lvl>
    <w:lvl w:ilvl="7" w:tentative="0">
      <w:start w:val="1"/>
      <w:numFmt w:val="lowerLetter"/>
      <w:lvlText w:val="%8)"/>
      <w:lvlJc w:val="left"/>
      <w:pPr>
        <w:ind w:left="4070" w:hanging="420"/>
        <w:jc w:val="both"/>
      </w:pPr>
    </w:lvl>
    <w:lvl w:ilvl="8" w:tentative="0">
      <w:start w:val="1"/>
      <w:numFmt w:val="lowerRoman"/>
      <w:lvlText w:val="%9."/>
      <w:lvlJc w:val="right"/>
      <w:pPr>
        <w:ind w:left="4490" w:hanging="420"/>
        <w:jc w:val="both"/>
      </w:pPr>
    </w:lvl>
  </w:abstractNum>
  <w:abstractNum w:abstractNumId="3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ind w:left="562" w:hanging="420"/>
        <w:jc w:val="both"/>
      </w:pPr>
    </w:lvl>
    <w:lvl w:ilvl="1" w:tentative="0">
      <w:start w:val="1"/>
      <w:numFmt w:val="lowerLetter"/>
      <w:lvlText w:val="%2)"/>
      <w:lvlJc w:val="left"/>
      <w:pPr>
        <w:ind w:left="1124" w:hanging="420"/>
        <w:jc w:val="both"/>
      </w:pPr>
    </w:lvl>
    <w:lvl w:ilvl="2" w:tentative="0">
      <w:start w:val="1"/>
      <w:numFmt w:val="lowerRoman"/>
      <w:lvlText w:val="%3."/>
      <w:lvlJc w:val="right"/>
      <w:pPr>
        <w:ind w:left="1544" w:hanging="420"/>
        <w:jc w:val="both"/>
      </w:pPr>
    </w:lvl>
    <w:lvl w:ilvl="3" w:tentative="0">
      <w:start w:val="1"/>
      <w:numFmt w:val="decimal"/>
      <w:lvlText w:val="%4."/>
      <w:lvlJc w:val="left"/>
      <w:pPr>
        <w:ind w:left="1964" w:hanging="420"/>
        <w:jc w:val="both"/>
      </w:pPr>
    </w:lvl>
    <w:lvl w:ilvl="4" w:tentative="0">
      <w:start w:val="1"/>
      <w:numFmt w:val="lowerLetter"/>
      <w:lvlText w:val="%5)"/>
      <w:lvlJc w:val="left"/>
      <w:pPr>
        <w:ind w:left="2384" w:hanging="420"/>
        <w:jc w:val="both"/>
      </w:pPr>
    </w:lvl>
    <w:lvl w:ilvl="5" w:tentative="0">
      <w:start w:val="1"/>
      <w:numFmt w:val="lowerRoman"/>
      <w:lvlText w:val="%6."/>
      <w:lvlJc w:val="right"/>
      <w:pPr>
        <w:ind w:left="2804" w:hanging="420"/>
        <w:jc w:val="both"/>
      </w:pPr>
    </w:lvl>
    <w:lvl w:ilvl="6" w:tentative="0">
      <w:start w:val="1"/>
      <w:numFmt w:val="decimal"/>
      <w:lvlText w:val="%7."/>
      <w:lvlJc w:val="left"/>
      <w:pPr>
        <w:ind w:left="3224" w:hanging="420"/>
        <w:jc w:val="both"/>
      </w:pPr>
    </w:lvl>
    <w:lvl w:ilvl="7" w:tentative="0">
      <w:start w:val="1"/>
      <w:numFmt w:val="lowerLetter"/>
      <w:lvlText w:val="%8)"/>
      <w:lvlJc w:val="left"/>
      <w:pPr>
        <w:ind w:left="3644" w:hanging="420"/>
        <w:jc w:val="both"/>
      </w:pPr>
    </w:lvl>
    <w:lvl w:ilvl="8" w:tentative="0">
      <w:start w:val="1"/>
      <w:numFmt w:val="lowerRoman"/>
      <w:lvlText w:val="%9."/>
      <w:lvlJc w:val="right"/>
      <w:pPr>
        <w:ind w:left="4064" w:hanging="420"/>
        <w:jc w:val="both"/>
      </w:pPr>
    </w:lvl>
  </w:abstractNum>
  <w:abstractNum w:abstractNumId="4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420" w:hanging="420"/>
        <w:jc w:val="both"/>
      </w:pPr>
    </w:lvl>
    <w:lvl w:ilvl="1" w:tentative="0">
      <w:start w:val="1"/>
      <w:numFmt w:val="lowerLetter"/>
      <w:lvlText w:val="%2)"/>
      <w:lvlJc w:val="left"/>
      <w:pPr>
        <w:ind w:left="1402" w:hanging="420"/>
        <w:jc w:val="both"/>
      </w:pPr>
    </w:lvl>
    <w:lvl w:ilvl="2" w:tentative="0">
      <w:start w:val="1"/>
      <w:numFmt w:val="lowerRoman"/>
      <w:lvlText w:val="%3."/>
      <w:lvlJc w:val="right"/>
      <w:pPr>
        <w:ind w:left="1822" w:hanging="420"/>
        <w:jc w:val="both"/>
      </w:pPr>
    </w:lvl>
    <w:lvl w:ilvl="3" w:tentative="0">
      <w:start w:val="1"/>
      <w:numFmt w:val="decimal"/>
      <w:lvlText w:val="%4."/>
      <w:lvlJc w:val="left"/>
      <w:pPr>
        <w:ind w:left="2242" w:hanging="420"/>
        <w:jc w:val="both"/>
      </w:pPr>
    </w:lvl>
    <w:lvl w:ilvl="4" w:tentative="0">
      <w:start w:val="1"/>
      <w:numFmt w:val="lowerLetter"/>
      <w:lvlText w:val="%5)"/>
      <w:lvlJc w:val="left"/>
      <w:pPr>
        <w:ind w:left="2662" w:hanging="420"/>
        <w:jc w:val="both"/>
      </w:pPr>
    </w:lvl>
    <w:lvl w:ilvl="5" w:tentative="0">
      <w:start w:val="1"/>
      <w:numFmt w:val="lowerRoman"/>
      <w:lvlText w:val="%6."/>
      <w:lvlJc w:val="right"/>
      <w:pPr>
        <w:ind w:left="3082" w:hanging="420"/>
        <w:jc w:val="both"/>
      </w:pPr>
    </w:lvl>
    <w:lvl w:ilvl="6" w:tentative="0">
      <w:start w:val="1"/>
      <w:numFmt w:val="decimal"/>
      <w:lvlText w:val="%7."/>
      <w:lvlJc w:val="left"/>
      <w:pPr>
        <w:ind w:left="3502" w:hanging="420"/>
        <w:jc w:val="both"/>
      </w:pPr>
    </w:lvl>
    <w:lvl w:ilvl="7" w:tentative="0">
      <w:start w:val="1"/>
      <w:numFmt w:val="lowerLetter"/>
      <w:lvlText w:val="%8)"/>
      <w:lvlJc w:val="left"/>
      <w:pPr>
        <w:ind w:left="3922" w:hanging="420"/>
        <w:jc w:val="both"/>
      </w:pPr>
    </w:lvl>
    <w:lvl w:ilvl="8" w:tentative="0">
      <w:start w:val="1"/>
      <w:numFmt w:val="lowerRoman"/>
      <w:lvlText w:val="%9."/>
      <w:lvlJc w:val="right"/>
      <w:pPr>
        <w:ind w:left="4342" w:hanging="420"/>
        <w:jc w:val="both"/>
      </w:pPr>
    </w:lvl>
  </w:abstractNum>
  <w:abstractNum w:abstractNumId="5">
    <w:nsid w:val="2373363E"/>
    <w:multiLevelType w:val="multilevel"/>
    <w:tmpl w:val="2373363E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C84343"/>
    <w:rsid w:val="000572D6"/>
    <w:rsid w:val="00073BF7"/>
    <w:rsid w:val="0013507E"/>
    <w:rsid w:val="001E53AC"/>
    <w:rsid w:val="002054EF"/>
    <w:rsid w:val="00367ED3"/>
    <w:rsid w:val="003816F7"/>
    <w:rsid w:val="003C0FCC"/>
    <w:rsid w:val="003E0D4B"/>
    <w:rsid w:val="004037A2"/>
    <w:rsid w:val="00495B6E"/>
    <w:rsid w:val="005626EE"/>
    <w:rsid w:val="005637D3"/>
    <w:rsid w:val="00594AC3"/>
    <w:rsid w:val="0064099A"/>
    <w:rsid w:val="006B117D"/>
    <w:rsid w:val="006B63AF"/>
    <w:rsid w:val="006E4E1E"/>
    <w:rsid w:val="0076642C"/>
    <w:rsid w:val="007F6DDB"/>
    <w:rsid w:val="00825FC7"/>
    <w:rsid w:val="008862E8"/>
    <w:rsid w:val="009A19A5"/>
    <w:rsid w:val="009C4B2F"/>
    <w:rsid w:val="00A02EC2"/>
    <w:rsid w:val="00A555B1"/>
    <w:rsid w:val="00A84107"/>
    <w:rsid w:val="00AA0ED8"/>
    <w:rsid w:val="00BA7AA6"/>
    <w:rsid w:val="00C20819"/>
    <w:rsid w:val="00C84343"/>
    <w:rsid w:val="00CE0368"/>
    <w:rsid w:val="00CF770B"/>
    <w:rsid w:val="00D757B2"/>
    <w:rsid w:val="00D86578"/>
    <w:rsid w:val="00DD3255"/>
    <w:rsid w:val="00DF042E"/>
    <w:rsid w:val="00E004CD"/>
    <w:rsid w:val="00E10419"/>
    <w:rsid w:val="00E71CA4"/>
    <w:rsid w:val="00EC3A75"/>
    <w:rsid w:val="00EF5473"/>
    <w:rsid w:val="00EF5E5E"/>
    <w:rsid w:val="020C6813"/>
    <w:rsid w:val="0BC26795"/>
    <w:rsid w:val="1F5B494E"/>
    <w:rsid w:val="26F2769C"/>
    <w:rsid w:val="2D157CBB"/>
    <w:rsid w:val="3181449B"/>
    <w:rsid w:val="344D0CF2"/>
    <w:rsid w:val="39333839"/>
    <w:rsid w:val="3D330E80"/>
    <w:rsid w:val="42C11C5F"/>
    <w:rsid w:val="501C4A1F"/>
    <w:rsid w:val="681D4830"/>
    <w:rsid w:val="6A4E7BB0"/>
    <w:rsid w:val="78784C16"/>
    <w:rsid w:val="7D1375B6"/>
    <w:rsid w:val="7F8B31D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7">
    <w:name w:val="Default Paragraph Font"/>
    <w:semiHidden/>
    <w:unhideWhenUsed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Date"/>
    <w:basedOn w:val="1"/>
    <w:next w:val="1"/>
    <w:link w:val="43"/>
    <w:semiHidden/>
    <w:unhideWhenUsed/>
    <w:qFormat/>
    <w:uiPriority w:val="0"/>
    <w:pPr>
      <w:ind w:left="100"/>
    </w:pPr>
  </w:style>
  <w:style w:type="paragraph" w:styleId="16">
    <w:name w:val="Balloon Text"/>
    <w:basedOn w:val="1"/>
    <w:link w:val="44"/>
    <w:semiHidden/>
    <w:unhideWhenUsed/>
    <w:qFormat/>
    <w:uiPriority w:val="0"/>
    <w:rPr>
      <w:sz w:val="18"/>
      <w:szCs w:val="18"/>
    </w:rPr>
  </w:style>
  <w:style w:type="paragraph" w:styleId="17">
    <w:name w:val="footer"/>
    <w:basedOn w:val="1"/>
    <w:link w:val="42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8">
    <w:name w:val="header"/>
    <w:basedOn w:val="1"/>
    <w:link w:val="41"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2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5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8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9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0">
    <w:name w:val="Hyperlink"/>
    <w:basedOn w:val="27"/>
    <w:unhideWhenUsed/>
    <w:uiPriority w:val="0"/>
    <w:rPr>
      <w:color w:val="0000FF"/>
      <w:w w:val="100"/>
      <w:sz w:val="20"/>
      <w:szCs w:val="20"/>
      <w:u w:val="single"/>
      <w:shd w:val="clear" w:color="auto" w:fill="auto"/>
    </w:rPr>
  </w:style>
  <w:style w:type="paragraph" w:styleId="31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2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3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4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5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6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7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8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9">
    <w:name w:val="List Paragraph"/>
    <w:basedOn w:val="1"/>
    <w:qFormat/>
    <w:uiPriority w:val="26"/>
    <w:pPr>
      <w:ind w:firstLine="420"/>
    </w:pPr>
    <w:rPr>
      <w:rFonts w:eastAsia="Times New Roman"/>
      <w:sz w:val="20"/>
      <w:szCs w:val="20"/>
    </w:rPr>
  </w:style>
  <w:style w:type="paragraph" w:customStyle="1" w:styleId="40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1">
    <w:name w:val="页眉 Char"/>
    <w:basedOn w:val="27"/>
    <w:link w:val="18"/>
    <w:uiPriority w:val="0"/>
    <w:rPr>
      <w:w w:val="100"/>
      <w:sz w:val="18"/>
      <w:szCs w:val="18"/>
      <w:shd w:val="clear" w:color="auto" w:fill="auto"/>
    </w:rPr>
  </w:style>
  <w:style w:type="character" w:customStyle="1" w:styleId="42">
    <w:name w:val="页脚 Char"/>
    <w:basedOn w:val="27"/>
    <w:link w:val="17"/>
    <w:uiPriority w:val="0"/>
    <w:rPr>
      <w:w w:val="100"/>
      <w:sz w:val="18"/>
      <w:szCs w:val="18"/>
      <w:shd w:val="clear" w:color="auto" w:fill="auto"/>
    </w:rPr>
  </w:style>
  <w:style w:type="character" w:customStyle="1" w:styleId="43">
    <w:name w:val="日期 Char"/>
    <w:basedOn w:val="27"/>
    <w:link w:val="15"/>
    <w:semiHidden/>
    <w:qFormat/>
    <w:uiPriority w:val="0"/>
  </w:style>
  <w:style w:type="character" w:customStyle="1" w:styleId="44">
    <w:name w:val="批注框文本 Char"/>
    <w:basedOn w:val="27"/>
    <w:link w:val="16"/>
    <w:semiHidden/>
    <w:uiPriority w:val="0"/>
    <w:rPr>
      <w:w w:val="100"/>
      <w:sz w:val="18"/>
      <w:szCs w:val="18"/>
      <w:shd w:val="clear" w:color="auto" w:fill="auto"/>
    </w:rPr>
  </w:style>
  <w:style w:type="character" w:customStyle="1" w:styleId="45">
    <w:name w:val="apple-converted-space"/>
    <w:basedOn w:val="27"/>
    <w:uiPriority w:val="0"/>
  </w:style>
  <w:style w:type="paragraph" w:customStyle="1" w:styleId="46">
    <w:name w:val="列出段落1"/>
    <w:basedOn w:val="1"/>
    <w:qFormat/>
    <w:uiPriority w:val="0"/>
    <w:pPr>
      <w:ind w:firstLine="420"/>
    </w:pPr>
    <w:rPr>
      <w:rFonts w:ascii="Times New Roman" w:hAnsi="Times New Roman" w:eastAsia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395</Words>
  <Characters>2252</Characters>
  <Lines>18</Lines>
  <Paragraphs>5</Paragraphs>
  <TotalTime>1</TotalTime>
  <ScaleCrop>false</ScaleCrop>
  <LinksUpToDate>false</LinksUpToDate>
  <CharactersWithSpaces>2642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2019-03-11T02:08:00Z</dcterms:created>
  <dc:creator>Administrator</dc:creator>
  <cp:lastModifiedBy>Administrator</cp:lastModifiedBy>
  <cp:lastPrinted>2019-03-23T11:49:00Z</cp:lastPrinted>
  <dcterms:modified xsi:type="dcterms:W3CDTF">2020-05-18T01:09:36Z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